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
        <w:spacing w:before="0" w:after="0"/>
        <w:jc w:val="right"/>
        <w:rPr>
          <w:rFonts w:ascii="Times New Roman" w:hAnsi="Times New Roman"/>
          <w:sz w:val="24"/>
          <w:szCs w:val="24"/>
        </w:rPr>
      </w:pPr>
      <w:r>
        <w:rPr>
          <w:rFonts w:ascii="Times New Roman" w:hAnsi="Times New Roman"/>
          <w:sz w:val="24"/>
          <w:szCs w:val="24"/>
        </w:rPr>
        <w:t>УТВЕРЖДАЮ</w:t>
      </w:r>
      <w:r>
        <w:rPr>
          <w:rFonts w:ascii="Times New Roman" w:hAnsi="Times New Roman"/>
          <w:b w:val="0"/>
          <w:sz w:val="24"/>
          <w:szCs w:val="24"/>
        </w:rPr>
        <w:t xml:space="preserve">                                                                                                                                         </w:t>
      </w:r>
      <w:r>
        <w:rPr>
          <w:rFonts w:ascii="Times New Roman" w:hAnsi="Times New Roman"/>
          <w:sz w:val="24"/>
          <w:szCs w:val="24"/>
        </w:rPr>
        <w:t xml:space="preserve"> Директор  ГКП на ПХВ </w:t>
      </w:r>
    </w:p>
    <w:p>
      <w:pPr>
        <w:pStyle w:val="1"/>
        <w:spacing w:before="0" w:after="0"/>
        <w:jc w:val="right"/>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kk-KZ"/>
        </w:rPr>
        <w:t>Областной онкологический диспансер</w:t>
      </w:r>
      <w:r>
        <w:rPr>
          <w:rFonts w:ascii="Times New Roman" w:hAnsi="Times New Roman"/>
          <w:sz w:val="24"/>
          <w:szCs w:val="24"/>
        </w:rPr>
        <w:t>»</w:t>
      </w:r>
    </w:p>
    <w:p>
      <w:pPr>
        <w:jc w:val="right"/>
        <w:rPr>
          <w:b/>
          <w:sz w:val="24"/>
          <w:szCs w:val="24"/>
        </w:rPr>
      </w:pPr>
      <w:r>
        <w:rPr>
          <w:b/>
          <w:sz w:val="24"/>
          <w:szCs w:val="24"/>
        </w:rPr>
        <w:t xml:space="preserve">    _____________</w:t>
      </w:r>
      <w:r>
        <w:rPr>
          <w:b/>
          <w:sz w:val="24"/>
          <w:szCs w:val="24"/>
          <w:lang w:val="kk-KZ"/>
        </w:rPr>
        <w:t>Н</w:t>
      </w:r>
      <w:r>
        <w:rPr>
          <w:b/>
          <w:sz w:val="24"/>
          <w:szCs w:val="24"/>
        </w:rPr>
        <w:t xml:space="preserve">.Н.Джариев </w:t>
      </w:r>
    </w:p>
    <w:p>
      <w:pPr>
        <w:ind w:firstLine="567"/>
        <w:jc w:val="center"/>
        <w:rPr>
          <w:b/>
          <w:sz w:val="24"/>
          <w:szCs w:val="24"/>
          <w:u w:val="single"/>
        </w:rPr>
      </w:pPr>
      <w:r>
        <w:rPr>
          <w:b/>
          <w:sz w:val="24"/>
          <w:szCs w:val="24"/>
        </w:rPr>
        <w:t xml:space="preserve">                                                                                                 от «</w:t>
      </w:r>
      <w:r>
        <w:rPr>
          <w:b/>
          <w:sz w:val="24"/>
          <w:szCs w:val="24"/>
          <w:lang w:val="kk-KZ"/>
        </w:rPr>
        <w:t>14</w:t>
      </w:r>
      <w:r>
        <w:rPr>
          <w:b/>
          <w:sz w:val="24"/>
          <w:szCs w:val="24"/>
        </w:rPr>
        <w:t xml:space="preserve">» мая  2018 г. №_________                        </w:t>
      </w:r>
    </w:p>
    <w:p>
      <w:pPr>
        <w:ind w:firstLine="567"/>
        <w:rPr>
          <w:b/>
          <w:sz w:val="24"/>
          <w:szCs w:val="24"/>
        </w:rPr>
      </w:pPr>
    </w:p>
    <w:p>
      <w:pPr>
        <w:ind w:firstLine="567"/>
        <w:jc w:val="center"/>
        <w:rPr>
          <w:b/>
          <w:sz w:val="24"/>
          <w:szCs w:val="24"/>
        </w:rPr>
      </w:pPr>
      <w:r>
        <w:rPr>
          <w:b/>
          <w:sz w:val="24"/>
          <w:szCs w:val="24"/>
        </w:rPr>
        <w:t>ТЕНДЕРНАЯ ДОКУМЕНТАЦИЯ №1</w:t>
      </w:r>
    </w:p>
    <w:p>
      <w:pPr>
        <w:ind w:firstLine="567"/>
        <w:rPr>
          <w:b/>
          <w:sz w:val="24"/>
          <w:szCs w:val="24"/>
        </w:rPr>
      </w:pPr>
      <w:r>
        <w:rPr>
          <w:b/>
          <w:sz w:val="24"/>
          <w:szCs w:val="24"/>
        </w:rPr>
        <w:t>1. Общие положения.</w:t>
      </w:r>
    </w:p>
    <w:p>
      <w:pPr>
        <w:ind w:firstLine="567"/>
        <w:jc w:val="both"/>
        <w:rPr>
          <w:b/>
          <w:sz w:val="24"/>
          <w:szCs w:val="24"/>
        </w:rPr>
      </w:pPr>
    </w:p>
    <w:p>
      <w:pPr>
        <w:pStyle w:val="ad"/>
        <w:shd w:val="clear" w:color="auto" w:fill="FFFFFF"/>
        <w:spacing w:before="0" w:beforeAutospacing="0" w:after="0" w:afterAutospacing="0"/>
        <w:ind w:firstLine="709"/>
        <w:jc w:val="both"/>
        <w:textAlignment w:val="baseline"/>
        <w:rPr>
          <w:spacing w:val="2"/>
        </w:rPr>
      </w:pPr>
      <w:r>
        <w:tab/>
        <w:t>Настоящая Тендерная документация</w:t>
      </w:r>
      <w:r>
        <w:rPr>
          <w:lang w:eastAsia="ko-KR"/>
        </w:rPr>
        <w:t xml:space="preserve"> </w:t>
      </w:r>
      <w:r>
        <w:t xml:space="preserve">разработана в соответствии </w:t>
      </w:r>
      <w:r>
        <w:rPr>
          <w:bCs/>
        </w:rPr>
        <w:t>с Кодексом Республики Казахстан от 18 сентября 2009 года «О здоровье народа и системе здравоохранения»</w:t>
      </w:r>
      <w:r>
        <w:t xml:space="preserve"> (далее – Кодекс), постановлением Правительства Республики Казахстан от 30.10.2009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w:t>
      </w:r>
      <w:r>
        <w:rPr>
          <w:lang w:val="kk-KZ"/>
        </w:rPr>
        <w:t>по</w:t>
      </w:r>
      <w:r>
        <w:t xml:space="preserve"> закуп</w:t>
      </w:r>
      <w:r>
        <w:rPr>
          <w:lang w:val="kk-KZ"/>
        </w:rPr>
        <w:t>у</w:t>
      </w:r>
      <w:r>
        <w:t xml:space="preserve"> реагентов жидкостных цитологии для диагностического оборудования Сell Scan 100 &amp;</w:t>
      </w:r>
      <w:bookmarkStart w:id="0" w:name="_GoBack"/>
      <w:bookmarkEnd w:id="0"/>
      <w:r>
        <w:rPr>
          <w:lang w:val="kk-KZ"/>
        </w:rPr>
        <w:t xml:space="preserve"> 200</w:t>
      </w:r>
      <w:r>
        <w:t xml:space="preserve"> (Сэлл Скан 100 и </w:t>
      </w:r>
      <w:r>
        <w:rPr>
          <w:lang w:val="kk-KZ"/>
        </w:rPr>
        <w:t>200</w:t>
      </w:r>
      <w:r>
        <w:t xml:space="preserve">) </w:t>
      </w:r>
      <w:r>
        <w:rPr>
          <w:spacing w:val="2"/>
        </w:rPr>
        <w:t xml:space="preserve"> для </w:t>
      </w:r>
      <w:r>
        <w:rPr>
          <w:spacing w:val="2"/>
          <w:lang w:val="kk-KZ"/>
        </w:rPr>
        <w:t>О</w:t>
      </w:r>
      <w:r>
        <w:rPr>
          <w:spacing w:val="2"/>
        </w:rPr>
        <w:t>бластн</w:t>
      </w:r>
      <w:r>
        <w:rPr>
          <w:spacing w:val="2"/>
          <w:lang w:val="kk-KZ"/>
        </w:rPr>
        <w:t>ого онкологического диспансера</w:t>
      </w:r>
      <w:r>
        <w:rPr>
          <w:spacing w:val="2"/>
        </w:rPr>
        <w:t xml:space="preserve"> на 2018 год </w:t>
      </w:r>
      <w:r>
        <w:rPr>
          <w:bCs/>
        </w:rPr>
        <w:t>на условиях, согласно настоящей Тендерной документации</w:t>
      </w:r>
      <w:r>
        <w:t>.</w:t>
      </w:r>
      <w:r>
        <w:rPr>
          <w:bCs/>
        </w:rPr>
        <w:t xml:space="preserve"> </w:t>
      </w:r>
    </w:p>
    <w:p>
      <w:pPr>
        <w:widowControl w:val="0"/>
        <w:autoSpaceDE w:val="0"/>
        <w:autoSpaceDN w:val="0"/>
        <w:adjustRightInd w:val="0"/>
        <w:ind w:firstLine="567"/>
        <w:jc w:val="both"/>
        <w:rPr>
          <w:sz w:val="24"/>
          <w:szCs w:val="24"/>
        </w:rPr>
      </w:pPr>
      <w:r>
        <w:rPr>
          <w:bCs/>
          <w:sz w:val="24"/>
          <w:szCs w:val="24"/>
        </w:rPr>
        <w:t xml:space="preserve"> Заказчиком и Организатором закупа </w:t>
      </w:r>
      <w:r>
        <w:rPr>
          <w:sz w:val="24"/>
          <w:szCs w:val="24"/>
        </w:rPr>
        <w:t xml:space="preserve">изделий медицинского назначения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w:t>
      </w:r>
      <w:r>
        <w:rPr>
          <w:bCs/>
          <w:sz w:val="24"/>
          <w:szCs w:val="24"/>
        </w:rPr>
        <w:t xml:space="preserve">выступает </w:t>
      </w:r>
      <w:r>
        <w:rPr>
          <w:sz w:val="24"/>
          <w:szCs w:val="24"/>
        </w:rPr>
        <w:t>ГКП на ПХВ «Областной онкологический диспансер».</w:t>
      </w:r>
    </w:p>
    <w:p>
      <w:pPr>
        <w:widowControl w:val="0"/>
        <w:autoSpaceDE w:val="0"/>
        <w:autoSpaceDN w:val="0"/>
        <w:adjustRightInd w:val="0"/>
        <w:ind w:firstLine="567"/>
        <w:jc w:val="both"/>
        <w:rPr>
          <w:sz w:val="24"/>
          <w:szCs w:val="24"/>
        </w:rPr>
      </w:pPr>
      <w:r>
        <w:rPr>
          <w:sz w:val="24"/>
          <w:szCs w:val="24"/>
        </w:rPr>
        <w:t>Юридический/фактический адрес: Республика Казахстан, Мангистауская область, город Актау, 24 микрорайон, Больничный городок № 2.</w:t>
      </w:r>
    </w:p>
    <w:p>
      <w:pPr>
        <w:widowControl w:val="0"/>
        <w:autoSpaceDE w:val="0"/>
        <w:autoSpaceDN w:val="0"/>
        <w:adjustRightInd w:val="0"/>
        <w:ind w:firstLine="567"/>
        <w:rPr>
          <w:sz w:val="24"/>
          <w:szCs w:val="24"/>
        </w:rPr>
      </w:pPr>
      <w:r>
        <w:rPr>
          <w:sz w:val="24"/>
          <w:szCs w:val="24"/>
        </w:rPr>
        <w:t xml:space="preserve">БИН: </w:t>
      </w:r>
      <w:r>
        <w:rPr>
          <w:color w:val="000000"/>
          <w:sz w:val="24"/>
          <w:szCs w:val="24"/>
        </w:rPr>
        <w:t>921040000192</w:t>
      </w:r>
      <w:r>
        <w:rPr>
          <w:sz w:val="24"/>
          <w:szCs w:val="24"/>
        </w:rPr>
        <w:t xml:space="preserve">, </w:t>
      </w:r>
      <w:r>
        <w:rPr>
          <w:sz w:val="23"/>
          <w:szCs w:val="23"/>
        </w:rPr>
        <w:t>АО «</w:t>
      </w:r>
      <w:r>
        <w:rPr>
          <w:sz w:val="24"/>
          <w:szCs w:val="24"/>
        </w:rPr>
        <w:t>Народный Банк Казахстана</w:t>
      </w:r>
      <w:r>
        <w:rPr>
          <w:sz w:val="23"/>
          <w:szCs w:val="23"/>
        </w:rPr>
        <w:t xml:space="preserve">», БИК: </w:t>
      </w:r>
      <w:r>
        <w:rPr>
          <w:color w:val="000000"/>
          <w:sz w:val="24"/>
          <w:szCs w:val="24"/>
          <w:lang w:val="en-US"/>
        </w:rPr>
        <w:t>HSBKKZKX</w:t>
      </w:r>
      <w:r>
        <w:rPr>
          <w:sz w:val="23"/>
          <w:szCs w:val="23"/>
        </w:rPr>
        <w:t>, ИИК</w:t>
      </w:r>
      <w:bookmarkStart w:id="1" w:name="OLE_LINK5"/>
      <w:bookmarkStart w:id="2" w:name="OLE_LINK6"/>
      <w:r>
        <w:rPr>
          <w:sz w:val="23"/>
          <w:szCs w:val="23"/>
        </w:rPr>
        <w:t>:</w:t>
      </w:r>
      <w:bookmarkEnd w:id="1"/>
      <w:bookmarkEnd w:id="2"/>
      <w:r>
        <w:rPr>
          <w:color w:val="000000"/>
          <w:sz w:val="24"/>
          <w:szCs w:val="24"/>
        </w:rPr>
        <w:t xml:space="preserve"> </w:t>
      </w:r>
      <w:r>
        <w:rPr>
          <w:color w:val="000000"/>
          <w:sz w:val="24"/>
          <w:szCs w:val="24"/>
          <w:lang w:val="en-US"/>
        </w:rPr>
        <w:t>KZ</w:t>
      </w:r>
      <w:r>
        <w:rPr>
          <w:color w:val="000000"/>
          <w:sz w:val="24"/>
          <w:szCs w:val="24"/>
        </w:rPr>
        <w:t>216010231000140213</w:t>
      </w:r>
    </w:p>
    <w:p>
      <w:pPr>
        <w:widowControl w:val="0"/>
        <w:autoSpaceDE w:val="0"/>
        <w:autoSpaceDN w:val="0"/>
        <w:adjustRightInd w:val="0"/>
        <w:ind w:firstLine="567"/>
        <w:rPr>
          <w:sz w:val="24"/>
          <w:szCs w:val="24"/>
        </w:rPr>
      </w:pPr>
      <w:r>
        <w:rPr>
          <w:sz w:val="24"/>
          <w:szCs w:val="24"/>
        </w:rPr>
        <w:t>Контактные телефоны: 8/7292/431345, 431311</w:t>
      </w:r>
    </w:p>
    <w:p>
      <w:pPr>
        <w:widowControl w:val="0"/>
        <w:autoSpaceDE w:val="0"/>
        <w:autoSpaceDN w:val="0"/>
        <w:adjustRightInd w:val="0"/>
        <w:ind w:firstLine="567"/>
        <w:rPr>
          <w:sz w:val="24"/>
          <w:szCs w:val="24"/>
        </w:rPr>
      </w:pPr>
      <w:r>
        <w:rPr>
          <w:sz w:val="24"/>
          <w:szCs w:val="24"/>
        </w:rPr>
        <w:t xml:space="preserve">Электронный адрес: </w:t>
      </w:r>
      <w:r>
        <w:rPr>
          <w:sz w:val="24"/>
          <w:szCs w:val="24"/>
          <w:lang w:val="en-US"/>
        </w:rPr>
        <w:t>goszakuponko</w:t>
      </w:r>
      <w:r>
        <w:rPr>
          <w:sz w:val="24"/>
          <w:szCs w:val="24"/>
        </w:rPr>
        <w:t>@</w:t>
      </w:r>
      <w:r>
        <w:rPr>
          <w:sz w:val="24"/>
          <w:szCs w:val="24"/>
          <w:lang w:val="en-US"/>
        </w:rPr>
        <w:t>mail</w:t>
      </w:r>
      <w:r>
        <w:rPr>
          <w:sz w:val="24"/>
          <w:szCs w:val="24"/>
        </w:rPr>
        <w:t>.</w:t>
      </w:r>
      <w:r>
        <w:rPr>
          <w:sz w:val="24"/>
          <w:szCs w:val="24"/>
          <w:lang w:val="en-US"/>
        </w:rPr>
        <w:t>ru</w:t>
      </w:r>
    </w:p>
    <w:p>
      <w:pPr>
        <w:widowControl w:val="0"/>
        <w:autoSpaceDE w:val="0"/>
        <w:autoSpaceDN w:val="0"/>
        <w:adjustRightInd w:val="0"/>
        <w:ind w:firstLine="567"/>
        <w:rPr>
          <w:sz w:val="24"/>
          <w:szCs w:val="24"/>
        </w:rPr>
      </w:pPr>
      <w:r>
        <w:rPr>
          <w:sz w:val="24"/>
          <w:szCs w:val="24"/>
        </w:rPr>
        <w:t xml:space="preserve">Сайт: </w:t>
      </w:r>
      <w:r>
        <w:rPr>
          <w:sz w:val="24"/>
          <w:szCs w:val="24"/>
          <w:lang w:val="en-US"/>
        </w:rPr>
        <w:t>onko</w:t>
      </w:r>
      <w:r>
        <w:rPr>
          <w:sz w:val="24"/>
          <w:szCs w:val="24"/>
        </w:rPr>
        <w:t>.</w:t>
      </w:r>
      <w:r>
        <w:rPr>
          <w:sz w:val="24"/>
          <w:szCs w:val="24"/>
          <w:lang w:val="en-US"/>
        </w:rPr>
        <w:t>mangystau</w:t>
      </w:r>
      <w:r>
        <w:rPr>
          <w:sz w:val="24"/>
          <w:szCs w:val="24"/>
        </w:rPr>
        <w:t>.</w:t>
      </w:r>
      <w:r>
        <w:rPr>
          <w:sz w:val="24"/>
          <w:szCs w:val="24"/>
          <w:lang w:val="en-US"/>
        </w:rPr>
        <w:t>kz</w:t>
      </w:r>
      <w:r>
        <w:rPr>
          <w:sz w:val="24"/>
          <w:szCs w:val="24"/>
        </w:rPr>
        <w:t>.</w:t>
      </w:r>
    </w:p>
    <w:p>
      <w:pPr>
        <w:ind w:firstLine="567"/>
        <w:jc w:val="center"/>
        <w:rPr>
          <w:sz w:val="24"/>
          <w:szCs w:val="24"/>
        </w:rPr>
      </w:pPr>
    </w:p>
    <w:p>
      <w:pPr>
        <w:ind w:firstLine="567"/>
        <w:jc w:val="both"/>
        <w:rPr>
          <w:b/>
          <w:color w:val="000000"/>
          <w:sz w:val="24"/>
          <w:szCs w:val="24"/>
        </w:rPr>
      </w:pPr>
      <w:r>
        <w:rPr>
          <w:b/>
          <w:color w:val="000000"/>
          <w:sz w:val="24"/>
          <w:szCs w:val="24"/>
        </w:rPr>
        <w:t>2. Состав тендерной документации:</w:t>
      </w:r>
    </w:p>
    <w:p>
      <w:pPr>
        <w:ind w:firstLine="567"/>
        <w:jc w:val="both"/>
        <w:rPr>
          <w:color w:val="000000"/>
          <w:sz w:val="24"/>
          <w:szCs w:val="24"/>
        </w:rPr>
      </w:pPr>
      <w:r>
        <w:rPr>
          <w:color w:val="000000"/>
          <w:sz w:val="24"/>
          <w:szCs w:val="24"/>
        </w:rPr>
        <w:t>-  Приложение 1 к ТД (Объем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pPr>
        <w:ind w:firstLine="567"/>
        <w:jc w:val="both"/>
        <w:rPr>
          <w:color w:val="000000"/>
          <w:sz w:val="24"/>
          <w:szCs w:val="24"/>
        </w:rPr>
      </w:pPr>
      <w:r>
        <w:rPr>
          <w:color w:val="000000"/>
          <w:sz w:val="24"/>
          <w:szCs w:val="24"/>
        </w:rPr>
        <w:t>- Приложение 2 к ТД (Технические и качественные характеристики закупаемых товаров, фармацевтических услуг, включая технические спецификации);</w:t>
      </w:r>
    </w:p>
    <w:p>
      <w:pPr>
        <w:ind w:firstLine="567"/>
        <w:rPr>
          <w:color w:val="000000"/>
          <w:sz w:val="24"/>
          <w:szCs w:val="24"/>
        </w:rPr>
      </w:pPr>
      <w:r>
        <w:rPr>
          <w:color w:val="000000"/>
          <w:sz w:val="24"/>
          <w:szCs w:val="24"/>
        </w:rPr>
        <w:t>- Приложение 3 к ТД (Заявка на участие в тендере);</w:t>
      </w:r>
    </w:p>
    <w:p>
      <w:pPr>
        <w:ind w:firstLine="567"/>
        <w:rPr>
          <w:color w:val="000000"/>
          <w:sz w:val="24"/>
          <w:szCs w:val="24"/>
        </w:rPr>
      </w:pPr>
      <w:r>
        <w:rPr>
          <w:color w:val="000000"/>
          <w:sz w:val="24"/>
          <w:szCs w:val="24"/>
        </w:rPr>
        <w:t>- Приложение 4 к ТД (Опись документов, прилагаемых к заявке потенциального поставщика);</w:t>
      </w:r>
    </w:p>
    <w:p>
      <w:pPr>
        <w:ind w:firstLine="567"/>
        <w:rPr>
          <w:color w:val="000000"/>
          <w:sz w:val="24"/>
          <w:szCs w:val="24"/>
        </w:rPr>
      </w:pPr>
      <w:r>
        <w:rPr>
          <w:color w:val="000000"/>
          <w:sz w:val="24"/>
          <w:szCs w:val="24"/>
        </w:rPr>
        <w:t>- Приложение 5 к ТД (Справка об отсутствии просроченной задолженности);</w:t>
      </w:r>
    </w:p>
    <w:p>
      <w:pPr>
        <w:ind w:firstLine="567"/>
        <w:rPr>
          <w:color w:val="000000"/>
          <w:sz w:val="24"/>
          <w:szCs w:val="24"/>
        </w:rPr>
      </w:pPr>
      <w:r>
        <w:rPr>
          <w:color w:val="000000"/>
          <w:sz w:val="24"/>
          <w:szCs w:val="24"/>
        </w:rPr>
        <w:t>- Приложение 6 к ТД (Сведения о квалификации);</w:t>
      </w:r>
    </w:p>
    <w:p>
      <w:pPr>
        <w:ind w:firstLine="567"/>
        <w:rPr>
          <w:color w:val="000000"/>
          <w:sz w:val="24"/>
          <w:szCs w:val="24"/>
        </w:rPr>
      </w:pPr>
      <w:r>
        <w:rPr>
          <w:color w:val="000000"/>
          <w:sz w:val="24"/>
          <w:szCs w:val="24"/>
        </w:rPr>
        <w:t>- Приложение 7 к ТД (Таблица цен потенциального поставщика);</w:t>
      </w:r>
    </w:p>
    <w:p>
      <w:pPr>
        <w:ind w:firstLine="567"/>
        <w:rPr>
          <w:color w:val="000000"/>
          <w:sz w:val="24"/>
          <w:szCs w:val="24"/>
        </w:rPr>
      </w:pPr>
      <w:r>
        <w:rPr>
          <w:color w:val="000000"/>
          <w:sz w:val="24"/>
          <w:szCs w:val="24"/>
        </w:rPr>
        <w:t>- Приложение 8 к ТД (Банковская гарантия (обеспечение заявки на участие в тендере);</w:t>
      </w:r>
    </w:p>
    <w:p>
      <w:pPr>
        <w:ind w:firstLine="567"/>
        <w:rPr>
          <w:color w:val="000000"/>
          <w:sz w:val="24"/>
          <w:szCs w:val="24"/>
        </w:rPr>
      </w:pPr>
      <w:r>
        <w:rPr>
          <w:color w:val="000000"/>
          <w:sz w:val="24"/>
          <w:szCs w:val="24"/>
        </w:rPr>
        <w:t>- Приложение 9 к ТД (Проект договора закупа товаров или договора на оказание фармацевтических услуг);</w:t>
      </w:r>
    </w:p>
    <w:p>
      <w:pPr>
        <w:pStyle w:val="20"/>
        <w:widowControl/>
        <w:ind w:firstLine="567"/>
        <w:rPr>
          <w:color w:val="000000"/>
          <w:sz w:val="24"/>
          <w:szCs w:val="24"/>
        </w:rPr>
      </w:pPr>
      <w:r>
        <w:rPr>
          <w:b/>
          <w:color w:val="000000"/>
          <w:sz w:val="24"/>
          <w:szCs w:val="24"/>
        </w:rPr>
        <w:t xml:space="preserve">- </w:t>
      </w:r>
      <w:r>
        <w:rPr>
          <w:color w:val="000000"/>
          <w:sz w:val="24"/>
          <w:szCs w:val="24"/>
        </w:rPr>
        <w:t>Приложение 10 к ТД (Банковская гарантия (обеспечение исполнения Договора о закупе).</w:t>
      </w:r>
    </w:p>
    <w:p>
      <w:pPr>
        <w:pStyle w:val="20"/>
        <w:widowControl/>
        <w:ind w:firstLine="567"/>
        <w:rPr>
          <w:b/>
          <w:color w:val="000000"/>
          <w:sz w:val="24"/>
          <w:szCs w:val="24"/>
        </w:rPr>
      </w:pPr>
    </w:p>
    <w:p>
      <w:pPr>
        <w:pStyle w:val="a3"/>
        <w:tabs>
          <w:tab w:val="clear" w:pos="0"/>
        </w:tabs>
        <w:ind w:firstLine="567"/>
        <w:rPr>
          <w:sz w:val="24"/>
          <w:szCs w:val="24"/>
        </w:rPr>
      </w:pPr>
      <w:r>
        <w:rPr>
          <w:b/>
          <w:color w:val="000000"/>
          <w:sz w:val="24"/>
          <w:szCs w:val="24"/>
        </w:rPr>
        <w:t>3. Перечень документов, подлежащих представлению потенциальным поставщиком в подтверждение его соответствия требованиям глав 3 и 4 настоящих Правил</w:t>
      </w:r>
      <w:r>
        <w:rPr>
          <w:color w:val="000000"/>
          <w:sz w:val="24"/>
          <w:szCs w:val="24"/>
        </w:rPr>
        <w:t>:</w:t>
      </w:r>
    </w:p>
    <w:p>
      <w:pPr>
        <w:pStyle w:val="a3"/>
        <w:tabs>
          <w:tab w:val="clear" w:pos="0"/>
        </w:tabs>
        <w:ind w:firstLine="567"/>
        <w:rPr>
          <w:sz w:val="24"/>
          <w:szCs w:val="24"/>
        </w:rPr>
      </w:pPr>
      <w:r>
        <w:rPr>
          <w:sz w:val="24"/>
          <w:szCs w:val="24"/>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w:t>
      </w:r>
      <w:r>
        <w:rPr>
          <w:color w:val="000000"/>
          <w:sz w:val="24"/>
          <w:szCs w:val="24"/>
        </w:rPr>
        <w:t xml:space="preserve">разрешение, подтверждающее права соисполнителя на </w:t>
      </w:r>
      <w:r>
        <w:rPr>
          <w:color w:val="000000"/>
          <w:sz w:val="24"/>
          <w:szCs w:val="24"/>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r>
        <w:rPr>
          <w:sz w:val="24"/>
          <w:szCs w:val="24"/>
        </w:rPr>
        <w:t>.</w:t>
      </w:r>
      <w:r>
        <w:rPr>
          <w:sz w:val="24"/>
          <w:szCs w:val="24"/>
        </w:rPr>
        <w:tab/>
      </w:r>
    </w:p>
    <w:p>
      <w:pPr>
        <w:pStyle w:val="a3"/>
        <w:tabs>
          <w:tab w:val="clear" w:pos="0"/>
        </w:tabs>
        <w:ind w:firstLine="567"/>
        <w:rPr>
          <w:sz w:val="24"/>
          <w:szCs w:val="24"/>
        </w:rPr>
      </w:pPr>
      <w:r>
        <w:rPr>
          <w:b/>
          <w:sz w:val="24"/>
          <w:szCs w:val="24"/>
        </w:rPr>
        <w:t>3.1.</w:t>
      </w:r>
      <w:r>
        <w:rPr>
          <w:sz w:val="24"/>
          <w:szCs w:val="24"/>
        </w:rPr>
        <w:t xml:space="preserve"> </w:t>
      </w:r>
      <w:r>
        <w:rPr>
          <w:b/>
          <w:sz w:val="24"/>
          <w:szCs w:val="24"/>
        </w:rPr>
        <w:t>Тендерная заявка, представляемая потенциальным поставщиком, изъявившим желание участвовать в тендере, должна содержать</w:t>
      </w:r>
      <w:r>
        <w:rPr>
          <w:sz w:val="24"/>
          <w:szCs w:val="24"/>
        </w:rPr>
        <w:t>:</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заявку на участие в тендере</w:t>
      </w:r>
      <w:r>
        <w:rPr>
          <w:rFonts w:ascii="Times New Roman" w:hAnsi="Times New Roman"/>
          <w:sz w:val="24"/>
          <w:szCs w:val="24"/>
          <w:lang w:eastAsia="ru-RU"/>
        </w:rPr>
        <w:t xml:space="preserve"> по форме, согласно </w:t>
      </w:r>
      <w:r>
        <w:rPr>
          <w:rFonts w:ascii="Times New Roman" w:hAnsi="Times New Roman"/>
          <w:b/>
          <w:sz w:val="24"/>
          <w:szCs w:val="24"/>
          <w:lang w:eastAsia="ru-RU"/>
        </w:rPr>
        <w:t>Приложения 3</w:t>
      </w:r>
      <w:r>
        <w:rPr>
          <w:rFonts w:ascii="Times New Roman" w:hAnsi="Times New Roman"/>
          <w:sz w:val="24"/>
          <w:szCs w:val="24"/>
          <w:lang w:eastAsia="ru-RU"/>
        </w:rPr>
        <w:t xml:space="preserve"> к тендерной документации. На электронном носителе представляется опись прилагаемых к заявке документов по форме согласно </w:t>
      </w:r>
      <w:r>
        <w:rPr>
          <w:rFonts w:ascii="Times New Roman" w:hAnsi="Times New Roman"/>
          <w:b/>
          <w:sz w:val="24"/>
          <w:szCs w:val="24"/>
          <w:lang w:eastAsia="ru-RU"/>
        </w:rPr>
        <w:t xml:space="preserve">Приложения 4 </w:t>
      </w:r>
      <w:r>
        <w:rPr>
          <w:rFonts w:ascii="Times New Roman" w:hAnsi="Times New Roman"/>
          <w:sz w:val="24"/>
          <w:szCs w:val="24"/>
          <w:lang w:eastAsia="ru-RU"/>
        </w:rPr>
        <w:t>к тендерной документации;</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копию свидетельства о государственной регистрации</w:t>
      </w:r>
      <w:r>
        <w:rPr>
          <w:rFonts w:ascii="Times New Roman" w:hAnsi="Times New Roman"/>
          <w:sz w:val="24"/>
          <w:szCs w:val="24"/>
          <w:lang w:eastAsia="ru-RU"/>
        </w:rPr>
        <w:t xml:space="preserve"> (перерегистрации) юридического лица либо справку о государственной регистрации (перерегистрации) юридического лица;</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копию устава для юридического лица</w:t>
      </w:r>
      <w:r>
        <w:rPr>
          <w:rFonts w:ascii="Times New Roman" w:hAnsi="Times New Roman"/>
          <w:sz w:val="24"/>
          <w:szCs w:val="24"/>
          <w:lang w:eastAsia="ru-RU"/>
        </w:rPr>
        <w:t xml:space="preserve"> (в случае, если в уставе не указан состав учредителей, участников или акционеров, также предоставляется выписка о составе учредителей, участников или копию учредительного договора или выписку из реестра действующих держателей акций после даты объявления);</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 xml:space="preserve">копию </w:t>
      </w:r>
      <w:hyperlink r:id="rId9" w:anchor="z5" w:history="1">
        <w:r>
          <w:rPr>
            <w:rFonts w:ascii="Times New Roman" w:hAnsi="Times New Roman"/>
            <w:b/>
            <w:sz w:val="24"/>
            <w:szCs w:val="24"/>
            <w:lang w:eastAsia="ru-RU"/>
          </w:rPr>
          <w:t>документа</w:t>
        </w:r>
      </w:hyperlink>
      <w:r>
        <w:rPr>
          <w:rFonts w:ascii="Times New Roman" w:hAnsi="Times New Roman"/>
          <w:b/>
          <w:sz w:val="24"/>
          <w:szCs w:val="24"/>
          <w:lang w:eastAsia="ru-RU"/>
        </w:rPr>
        <w:t>, предоставляющего право на осуществление предпринимательской деятельности</w:t>
      </w:r>
      <w:r>
        <w:rPr>
          <w:rFonts w:ascii="Times New Roman" w:hAnsi="Times New Roman"/>
          <w:sz w:val="24"/>
          <w:szCs w:val="24"/>
          <w:lang w:eastAsia="ru-RU"/>
        </w:rPr>
        <w:t xml:space="preserve"> без образования юридического лица, выданного соответствующим государственным органом, копии документа, удостоверяющую личность;</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копии разрешений</w:t>
      </w:r>
      <w:r>
        <w:rPr>
          <w:rFonts w:ascii="Times New Roman" w:hAnsi="Times New Roman"/>
          <w:sz w:val="24"/>
          <w:szCs w:val="24"/>
          <w:lang w:eastAsia="ru-RU"/>
        </w:rPr>
        <w:t xml:space="preserve">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сведения об отсутствии (наличии) налоговой задолженности</w:t>
      </w:r>
      <w:r>
        <w:rPr>
          <w:rFonts w:ascii="Times New Roman" w:hAnsi="Times New Roman"/>
          <w:sz w:val="24"/>
          <w:szCs w:val="24"/>
          <w:lang w:eastAsia="ru-RU"/>
        </w:rPr>
        <w:t xml:space="preserve">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подписанный оригинал справки банка</w:t>
      </w:r>
      <w:r>
        <w:rPr>
          <w:rFonts w:ascii="Times New Roman" w:hAnsi="Times New Roman"/>
          <w:sz w:val="24"/>
          <w:szCs w:val="24"/>
          <w:lang w:eastAsia="ru-RU"/>
        </w:rPr>
        <w:t xml:space="preserve">, в котором обслуживается потенциальный поставщик, </w:t>
      </w:r>
      <w:r>
        <w:rPr>
          <w:rFonts w:ascii="Times New Roman" w:hAnsi="Times New Roman"/>
          <w:b/>
          <w:sz w:val="24"/>
          <w:szCs w:val="24"/>
          <w:lang w:eastAsia="ru-RU"/>
        </w:rPr>
        <w:t>об отсутствии просроченной задолженности по всем видам его обязательств</w:t>
      </w:r>
      <w:r>
        <w:rPr>
          <w:rFonts w:ascii="Times New Roman" w:hAnsi="Times New Roman"/>
          <w:sz w:val="24"/>
          <w:szCs w:val="24"/>
          <w:lang w:eastAsia="ru-RU"/>
        </w:rPr>
        <w:t xml:space="preserve">,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Pr>
          <w:rFonts w:ascii="Times New Roman" w:hAnsi="Times New Roman"/>
          <w:b/>
          <w:sz w:val="24"/>
          <w:szCs w:val="24"/>
          <w:lang w:eastAsia="ru-RU"/>
        </w:rPr>
        <w:t>Приложению 5</w:t>
      </w:r>
      <w:r>
        <w:rPr>
          <w:rFonts w:ascii="Times New Roman" w:hAnsi="Times New Roman"/>
          <w:sz w:val="24"/>
          <w:szCs w:val="24"/>
          <w:lang w:eastAsia="ru-RU"/>
        </w:rPr>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выданные не ранее одного месяца, предшествующего дате вскрытия конвертов;</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сведения о квалификации по форме</w:t>
      </w:r>
      <w:r>
        <w:rPr>
          <w:rFonts w:ascii="Times New Roman" w:hAnsi="Times New Roman"/>
          <w:sz w:val="24"/>
          <w:szCs w:val="24"/>
          <w:lang w:eastAsia="ru-RU"/>
        </w:rPr>
        <w:t xml:space="preserve">, согласно </w:t>
      </w:r>
      <w:r>
        <w:rPr>
          <w:rFonts w:ascii="Times New Roman" w:hAnsi="Times New Roman"/>
          <w:b/>
          <w:sz w:val="24"/>
          <w:szCs w:val="24"/>
          <w:lang w:eastAsia="ru-RU"/>
        </w:rPr>
        <w:t>Приложению 6</w:t>
      </w:r>
      <w:r>
        <w:rPr>
          <w:rFonts w:ascii="Times New Roman" w:hAnsi="Times New Roman"/>
          <w:sz w:val="24"/>
          <w:szCs w:val="24"/>
          <w:lang w:eastAsia="ru-RU"/>
        </w:rPr>
        <w:t xml:space="preserve"> к тендерной документации;</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если потенциальный поставщик претендует на преимущественное право копию сертификата о соответствии надлежащей аптечной практики (GPP)</w:t>
      </w:r>
      <w:r>
        <w:rPr>
          <w:rFonts w:ascii="Times New Roman" w:hAnsi="Times New Roman"/>
          <w:sz w:val="24"/>
          <w:szCs w:val="24"/>
          <w:lang w:eastAsia="ru-RU"/>
        </w:rPr>
        <w:t>;</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b/>
          <w:sz w:val="24"/>
          <w:szCs w:val="24"/>
          <w:lang w:eastAsia="ru-RU"/>
        </w:rPr>
        <w:t>заявленную потенциальным поставщиком таблицу цен</w:t>
      </w:r>
      <w:r>
        <w:rPr>
          <w:rFonts w:ascii="Times New Roman" w:hAnsi="Times New Roman"/>
          <w:sz w:val="24"/>
          <w:szCs w:val="24"/>
          <w:lang w:eastAsia="ru-RU"/>
        </w:rPr>
        <w:t xml:space="preserve">, согласно </w:t>
      </w:r>
      <w:r>
        <w:rPr>
          <w:rFonts w:ascii="Times New Roman" w:hAnsi="Times New Roman"/>
          <w:b/>
          <w:sz w:val="24"/>
          <w:szCs w:val="24"/>
          <w:lang w:eastAsia="ru-RU"/>
        </w:rPr>
        <w:t>Приложению 6</w:t>
      </w:r>
      <w:r>
        <w:rPr>
          <w:rFonts w:ascii="Times New Roman" w:hAnsi="Times New Roman"/>
          <w:sz w:val="24"/>
          <w:szCs w:val="24"/>
          <w:lang w:eastAsia="ru-RU"/>
        </w:rPr>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w:t>
      </w:r>
      <w:r>
        <w:rPr>
          <w:rFonts w:ascii="Times New Roman" w:hAnsi="Times New Roman"/>
          <w:sz w:val="24"/>
          <w:szCs w:val="24"/>
          <w:lang w:eastAsia="ru-RU"/>
        </w:rPr>
        <w:lastRenderedPageBreak/>
        <w:t>назначения, медицинской техники и (или) фармацевтической услуги, включая цену сопутствующих услуг;</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сопутствующие услуги;</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оригинал документа, подтверждающего внесение гарантийного обеспечения тендерной заявки </w:t>
      </w:r>
      <w:r>
        <w:rPr>
          <w:rStyle w:val="s0"/>
          <w:sz w:val="24"/>
          <w:szCs w:val="24"/>
        </w:rPr>
        <w:t xml:space="preserve">согласно </w:t>
      </w:r>
      <w:r>
        <w:rPr>
          <w:rStyle w:val="s0"/>
          <w:b/>
          <w:sz w:val="24"/>
          <w:szCs w:val="24"/>
        </w:rPr>
        <w:t>Приложению 8</w:t>
      </w:r>
      <w:r>
        <w:rPr>
          <w:rFonts w:ascii="Times New Roman" w:hAnsi="Times New Roman"/>
          <w:sz w:val="24"/>
          <w:szCs w:val="24"/>
          <w:lang w:eastAsia="ru-RU"/>
        </w:rPr>
        <w:t xml:space="preserve"> к тендерной документации;</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color w:val="000000"/>
          <w:sz w:val="24"/>
          <w:szCs w:val="24"/>
        </w:rPr>
        <w:t xml:space="preserve"> другие документы, предусмотренные тендерной документацией.</w:t>
      </w:r>
    </w:p>
    <w:p>
      <w:pPr>
        <w:jc w:val="both"/>
        <w:rPr>
          <w:sz w:val="24"/>
          <w:szCs w:val="24"/>
          <w:lang w:val="kk-KZ"/>
        </w:rPr>
      </w:pPr>
      <w:r>
        <w:rPr>
          <w:sz w:val="24"/>
          <w:szCs w:val="24"/>
        </w:rPr>
        <w:t xml:space="preserve">16) Предлагать только продукт оригинал, </w:t>
      </w:r>
      <w:r>
        <w:rPr>
          <w:color w:val="000000"/>
          <w:spacing w:val="2"/>
          <w:sz w:val="24"/>
          <w:szCs w:val="24"/>
          <w:shd w:val="clear" w:color="auto" w:fill="FFFFFF"/>
        </w:rPr>
        <w:t>произведенный в соответствии с требованиями международных стандартов и имеющих сертификат о происхождении товара</w:t>
      </w:r>
      <w:r>
        <w:rPr>
          <w:sz w:val="24"/>
          <w:szCs w:val="24"/>
          <w:lang w:val="kk-KZ"/>
        </w:rPr>
        <w:t>.</w:t>
      </w:r>
    </w:p>
    <w:p>
      <w:pPr>
        <w:ind w:firstLine="567"/>
        <w:rPr>
          <w:sz w:val="24"/>
          <w:szCs w:val="24"/>
        </w:rPr>
      </w:pPr>
      <w:r>
        <w:rPr>
          <w:b/>
          <w:color w:val="000000"/>
          <w:sz w:val="24"/>
          <w:szCs w:val="24"/>
        </w:rPr>
        <w:t>3.2. Техническая часть тендерной заявки должна содержать</w:t>
      </w:r>
      <w:r>
        <w:rPr>
          <w:color w:val="000000"/>
          <w:sz w:val="24"/>
          <w:szCs w:val="24"/>
        </w:rPr>
        <w:t>:</w:t>
      </w:r>
      <w:r>
        <w:rPr>
          <w:sz w:val="24"/>
          <w:szCs w:val="24"/>
        </w:rPr>
        <w:br/>
      </w:r>
      <w:r>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r>
        <w:rPr>
          <w:sz w:val="24"/>
          <w:szCs w:val="24"/>
        </w:rPr>
        <w:br/>
      </w:r>
      <w:r>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pPr>
        <w:ind w:firstLine="567"/>
        <w:rPr>
          <w:color w:val="000000"/>
          <w:sz w:val="24"/>
          <w:szCs w:val="24"/>
        </w:rPr>
      </w:pPr>
      <w:r>
        <w:rPr>
          <w:b/>
          <w:color w:val="000000"/>
          <w:sz w:val="24"/>
          <w:szCs w:val="24"/>
        </w:rPr>
        <w:t>3.3. Гарантийное обеспечение тендерной заявки (далее - гарантийное обеспечение) представляется в виде</w:t>
      </w:r>
      <w:r>
        <w:rPr>
          <w:color w:val="000000"/>
          <w:sz w:val="24"/>
          <w:szCs w:val="24"/>
        </w:rPr>
        <w:t>:</w:t>
      </w:r>
      <w:r>
        <w:rPr>
          <w:sz w:val="24"/>
          <w:szCs w:val="24"/>
        </w:rPr>
        <w:br/>
      </w:r>
      <w:r>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Pr>
          <w:sz w:val="24"/>
          <w:szCs w:val="24"/>
        </w:rPr>
        <w:br/>
      </w:r>
      <w:r>
        <w:rPr>
          <w:color w:val="000000"/>
          <w:sz w:val="24"/>
          <w:szCs w:val="24"/>
        </w:rPr>
        <w:t xml:space="preserve">      2) банковской гарантии по форме, </w:t>
      </w:r>
      <w:r>
        <w:rPr>
          <w:rStyle w:val="s0"/>
          <w:sz w:val="24"/>
          <w:szCs w:val="24"/>
        </w:rPr>
        <w:t xml:space="preserve">согласно </w:t>
      </w:r>
      <w:r>
        <w:rPr>
          <w:rStyle w:val="s0"/>
          <w:b/>
          <w:sz w:val="24"/>
          <w:szCs w:val="24"/>
        </w:rPr>
        <w:t>Приложению 8</w:t>
      </w:r>
      <w:r>
        <w:rPr>
          <w:sz w:val="24"/>
          <w:szCs w:val="24"/>
        </w:rPr>
        <w:t xml:space="preserve"> к тендерной документации</w:t>
      </w:r>
      <w:r>
        <w:rPr>
          <w:color w:val="000000"/>
          <w:sz w:val="24"/>
          <w:szCs w:val="24"/>
        </w:rPr>
        <w:t>.</w:t>
      </w:r>
    </w:p>
    <w:p>
      <w:pPr>
        <w:ind w:firstLine="567"/>
        <w:jc w:val="both"/>
        <w:rPr>
          <w:color w:val="000000"/>
          <w:sz w:val="24"/>
          <w:szCs w:val="24"/>
        </w:rPr>
      </w:pPr>
      <w:r>
        <w:rPr>
          <w:color w:val="000000"/>
          <w:sz w:val="24"/>
          <w:szCs w:val="24"/>
        </w:rPr>
        <w:t>Срок действия гарантийного обеспечения составляет не менее срока действия тендерной заявки.</w:t>
      </w:r>
    </w:p>
    <w:p>
      <w:pPr>
        <w:ind w:firstLine="567"/>
        <w:jc w:val="both"/>
        <w:rPr>
          <w:color w:val="000000"/>
          <w:sz w:val="24"/>
          <w:szCs w:val="24"/>
        </w:rPr>
      </w:pPr>
      <w:r>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pPr>
        <w:ind w:firstLine="567"/>
        <w:jc w:val="both"/>
        <w:rPr>
          <w:sz w:val="24"/>
          <w:szCs w:val="24"/>
        </w:rPr>
      </w:pPr>
      <w:r>
        <w:rPr>
          <w:sz w:val="24"/>
          <w:szCs w:val="24"/>
        </w:rPr>
        <w:t>Гарантийное обеспечение возвращается потенциальному поставщику в течение пяти рабочих дней в случаях:</w:t>
      </w:r>
    </w:p>
    <w:p>
      <w:pPr>
        <w:jc w:val="both"/>
        <w:rPr>
          <w:sz w:val="24"/>
          <w:szCs w:val="24"/>
        </w:rPr>
      </w:pPr>
      <w:r>
        <w:rPr>
          <w:sz w:val="24"/>
          <w:szCs w:val="24"/>
        </w:rPr>
        <w:t>1) истечения срока действия тендерной заявки (за исключением тендерной заявки победителя тендера);</w:t>
      </w:r>
    </w:p>
    <w:p>
      <w:pPr>
        <w:jc w:val="both"/>
        <w:rPr>
          <w:sz w:val="24"/>
          <w:szCs w:val="24"/>
        </w:rPr>
      </w:pPr>
      <w:r>
        <w:rPr>
          <w:sz w:val="24"/>
          <w:szCs w:val="24"/>
        </w:rPr>
        <w:t>2) отзыва тендерной заявки потенциальным поставщиком до истечения окончательного срока их приема;</w:t>
      </w:r>
    </w:p>
    <w:p>
      <w:pPr>
        <w:jc w:val="both"/>
        <w:rPr>
          <w:sz w:val="24"/>
          <w:szCs w:val="24"/>
        </w:rPr>
      </w:pPr>
      <w:r>
        <w:rPr>
          <w:sz w:val="24"/>
          <w:szCs w:val="24"/>
        </w:rPr>
        <w:t>3) отклонения тендерной заявки по основанию несоответствия положениям тендерной документации;</w:t>
      </w:r>
    </w:p>
    <w:p>
      <w:pPr>
        <w:jc w:val="both"/>
        <w:rPr>
          <w:sz w:val="24"/>
          <w:szCs w:val="24"/>
        </w:rPr>
      </w:pPr>
      <w:r>
        <w:rPr>
          <w:sz w:val="24"/>
          <w:szCs w:val="24"/>
        </w:rPr>
        <w:t>4) признания победителем тендера другого потенциального поставщика;</w:t>
      </w:r>
    </w:p>
    <w:p>
      <w:pPr>
        <w:jc w:val="both"/>
        <w:rPr>
          <w:sz w:val="24"/>
          <w:szCs w:val="24"/>
        </w:rPr>
      </w:pPr>
      <w:r>
        <w:rPr>
          <w:sz w:val="24"/>
          <w:szCs w:val="24"/>
        </w:rPr>
        <w:t>5) прекращения процедур закупа без определения победителя тендера;</w:t>
      </w:r>
    </w:p>
    <w:p>
      <w:pPr>
        <w:jc w:val="both"/>
        <w:rPr>
          <w:sz w:val="24"/>
          <w:szCs w:val="24"/>
        </w:rPr>
      </w:pPr>
      <w:r>
        <w:rPr>
          <w:sz w:val="24"/>
          <w:szCs w:val="24"/>
        </w:rPr>
        <w:t>6) вступления в силу договора закупа и внесения победителем тендера гарантийного обеспечения исполнения договора закупа.</w:t>
      </w:r>
    </w:p>
    <w:p>
      <w:pPr>
        <w:ind w:firstLine="709"/>
        <w:jc w:val="both"/>
        <w:rPr>
          <w:sz w:val="24"/>
          <w:szCs w:val="24"/>
        </w:rPr>
      </w:pPr>
      <w:r>
        <w:rPr>
          <w:sz w:val="24"/>
          <w:szCs w:val="24"/>
        </w:rPr>
        <w:t xml:space="preserve"> Гарантийное обеспечение не возвращается потенциальному поставщику, если он:</w:t>
      </w:r>
    </w:p>
    <w:p>
      <w:pPr>
        <w:pStyle w:val="af0"/>
        <w:autoSpaceDE w:val="0"/>
        <w:autoSpaceDN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1) отозвал или изменил тендерную заявку после истечения окончательного срока приема тендерных заявок;</w:t>
      </w:r>
    </w:p>
    <w:p>
      <w:pPr>
        <w:pStyle w:val="af0"/>
        <w:autoSpaceDE w:val="0"/>
        <w:autoSpaceDN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2) победитель уклонился от заключения договора на оказание фармацевтических услуг после признания победителем тендера;</w:t>
      </w:r>
    </w:p>
    <w:p>
      <w:pPr>
        <w:jc w:val="both"/>
        <w:rPr>
          <w:sz w:val="24"/>
          <w:szCs w:val="24"/>
        </w:rPr>
      </w:pPr>
      <w:r>
        <w:rPr>
          <w:sz w:val="24"/>
          <w:szCs w:val="24"/>
        </w:rPr>
        <w:t>3) признан победителем и не внес либо несвоевременно внес гарантийное обеспечение договора на оказание фармацевтических услуг.</w:t>
      </w:r>
    </w:p>
    <w:p>
      <w:pPr>
        <w:ind w:firstLine="567"/>
        <w:rPr>
          <w:b/>
          <w:color w:val="000000"/>
          <w:sz w:val="24"/>
          <w:szCs w:val="24"/>
        </w:rPr>
      </w:pPr>
      <w:r>
        <w:rPr>
          <w:b/>
          <w:color w:val="000000"/>
          <w:sz w:val="24"/>
          <w:szCs w:val="24"/>
        </w:rPr>
        <w:t>3.4. Требования к оформлению тендерной заявки, порядок отзыва тендерной заявки.</w:t>
      </w:r>
    </w:p>
    <w:p>
      <w:pPr>
        <w:ind w:firstLine="567"/>
        <w:jc w:val="both"/>
        <w:rPr>
          <w:color w:val="000000"/>
          <w:sz w:val="24"/>
          <w:szCs w:val="24"/>
        </w:rPr>
      </w:pPr>
      <w:r>
        <w:rPr>
          <w:color w:val="000000"/>
          <w:sz w:val="24"/>
          <w:szCs w:val="24"/>
        </w:rPr>
        <w:t xml:space="preserve">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w:t>
      </w:r>
      <w:r>
        <w:rPr>
          <w:color w:val="000000"/>
          <w:sz w:val="24"/>
          <w:szCs w:val="24"/>
        </w:rPr>
        <w:lastRenderedPageBreak/>
        <w:t>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pPr>
        <w:ind w:firstLine="567"/>
        <w:jc w:val="both"/>
        <w:rPr>
          <w:color w:val="000000"/>
          <w:sz w:val="24"/>
          <w:szCs w:val="24"/>
        </w:rPr>
      </w:pPr>
      <w:r>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pPr>
        <w:ind w:firstLine="567"/>
        <w:jc w:val="both"/>
        <w:rPr>
          <w:sz w:val="24"/>
          <w:szCs w:val="24"/>
        </w:rPr>
      </w:pPr>
      <w:r>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Pr>
          <w:b/>
          <w:color w:val="000000"/>
          <w:sz w:val="24"/>
          <w:szCs w:val="24"/>
        </w:rPr>
        <w:t>Тендер по закупу ________ (указывается название тендера)"</w:t>
      </w:r>
      <w:r>
        <w:rPr>
          <w:color w:val="000000"/>
          <w:sz w:val="24"/>
          <w:szCs w:val="24"/>
        </w:rPr>
        <w:t xml:space="preserve"> и </w:t>
      </w:r>
      <w:r>
        <w:rPr>
          <w:b/>
          <w:color w:val="000000"/>
          <w:sz w:val="24"/>
          <w:szCs w:val="24"/>
        </w:rPr>
        <w:t>"Не вскрывать до _______ (указываются дата и время вскрытия конвертов, указанные в тендерной документации)"</w:t>
      </w:r>
      <w:r>
        <w:rPr>
          <w:color w:val="000000"/>
          <w:sz w:val="24"/>
          <w:szCs w:val="24"/>
        </w:rPr>
        <w:t>.</w:t>
      </w:r>
    </w:p>
    <w:p>
      <w:pPr>
        <w:ind w:firstLine="567"/>
        <w:jc w:val="both"/>
        <w:rPr>
          <w:sz w:val="24"/>
          <w:szCs w:val="24"/>
        </w:rPr>
      </w:pPr>
      <w:r>
        <w:rPr>
          <w:color w:val="000000"/>
          <w:sz w:val="24"/>
          <w:szCs w:val="24"/>
        </w:rPr>
        <w:t>Потенциальный поставщик при необходимости отзывает заявку в письменной форме до истечения окончательного срока их приема.</w:t>
      </w:r>
    </w:p>
    <w:p>
      <w:pPr>
        <w:ind w:firstLine="567"/>
        <w:rPr>
          <w:color w:val="000000"/>
          <w:sz w:val="24"/>
          <w:szCs w:val="24"/>
        </w:rPr>
      </w:pPr>
      <w:r>
        <w:rPr>
          <w:color w:val="000000"/>
          <w:sz w:val="24"/>
          <w:szCs w:val="24"/>
        </w:rPr>
        <w:t>Не допускается внесение изменений в тендерные заявки после истечения срока представления тендерных заявок.</w:t>
      </w:r>
    </w:p>
    <w:p>
      <w:pPr>
        <w:ind w:firstLine="567"/>
        <w:jc w:val="both"/>
        <w:rPr>
          <w:b/>
          <w:sz w:val="24"/>
          <w:szCs w:val="24"/>
        </w:rPr>
      </w:pPr>
      <w:r>
        <w:rPr>
          <w:b/>
          <w:color w:val="000000"/>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pPr>
        <w:ind w:firstLine="567"/>
        <w:rPr>
          <w:color w:val="000000"/>
          <w:sz w:val="24"/>
          <w:szCs w:val="24"/>
        </w:rPr>
      </w:pPr>
    </w:p>
    <w:p>
      <w:pPr>
        <w:pStyle w:val="20"/>
        <w:widowControl/>
        <w:ind w:firstLine="567"/>
        <w:rPr>
          <w:rStyle w:val="s0"/>
          <w:sz w:val="24"/>
          <w:szCs w:val="24"/>
        </w:rPr>
      </w:pPr>
      <w:r>
        <w:rPr>
          <w:b/>
          <w:color w:val="000000"/>
          <w:sz w:val="24"/>
          <w:szCs w:val="24"/>
        </w:rPr>
        <w:t>4. У</w:t>
      </w:r>
      <w:r>
        <w:rPr>
          <w:rStyle w:val="s0"/>
          <w:b/>
          <w:sz w:val="24"/>
          <w:szCs w:val="24"/>
        </w:rPr>
        <w:t>словия платежа.</w:t>
      </w:r>
      <w:r>
        <w:rPr>
          <w:rStyle w:val="s0"/>
          <w:sz w:val="24"/>
          <w:szCs w:val="24"/>
        </w:rPr>
        <w:t xml:space="preserve"> </w:t>
      </w:r>
    </w:p>
    <w:p>
      <w:pPr>
        <w:pStyle w:val="20"/>
        <w:widowControl/>
        <w:ind w:firstLine="567"/>
        <w:rPr>
          <w:b/>
          <w:color w:val="000000"/>
          <w:sz w:val="24"/>
          <w:szCs w:val="24"/>
        </w:rPr>
      </w:pPr>
      <w:r>
        <w:rPr>
          <w:rStyle w:val="s0"/>
          <w:sz w:val="24"/>
          <w:szCs w:val="24"/>
        </w:rPr>
        <w:t>Оплата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Pr>
          <w:sz w:val="24"/>
          <w:szCs w:val="24"/>
        </w:rPr>
        <w:t>.</w:t>
      </w:r>
    </w:p>
    <w:p>
      <w:pPr>
        <w:pStyle w:val="20"/>
        <w:widowControl/>
        <w:ind w:firstLine="567"/>
        <w:rPr>
          <w:sz w:val="24"/>
          <w:szCs w:val="24"/>
        </w:rPr>
      </w:pPr>
      <w:r>
        <w:rPr>
          <w:sz w:val="24"/>
          <w:szCs w:val="24"/>
        </w:rPr>
        <w:t xml:space="preserve"> Сумма договора может корректироваться с учетом фактически поставленного товара.</w:t>
      </w:r>
    </w:p>
    <w:p>
      <w:pPr>
        <w:ind w:firstLine="567"/>
        <w:rPr>
          <w:sz w:val="24"/>
          <w:szCs w:val="24"/>
        </w:rPr>
      </w:pPr>
    </w:p>
    <w:p>
      <w:pPr>
        <w:ind w:firstLine="567"/>
        <w:rPr>
          <w:sz w:val="24"/>
          <w:szCs w:val="24"/>
        </w:rPr>
      </w:pPr>
      <w:r>
        <w:rPr>
          <w:b/>
          <w:color w:val="000000"/>
          <w:sz w:val="24"/>
          <w:szCs w:val="24"/>
        </w:rPr>
        <w:t>5. Валюта или валюты, в которых выражена цена тендерной заявки</w:t>
      </w:r>
      <w:r>
        <w:rPr>
          <w:color w:val="000000"/>
          <w:sz w:val="24"/>
          <w:szCs w:val="24"/>
        </w:rPr>
        <w:t xml:space="preserve"> – тенге.</w:t>
      </w:r>
    </w:p>
    <w:p>
      <w:pPr>
        <w:pStyle w:val="a3"/>
        <w:tabs>
          <w:tab w:val="clear" w:pos="0"/>
        </w:tabs>
        <w:ind w:firstLine="567"/>
        <w:rPr>
          <w:color w:val="000000"/>
          <w:sz w:val="24"/>
          <w:szCs w:val="24"/>
        </w:rPr>
      </w:pPr>
    </w:p>
    <w:p>
      <w:pPr>
        <w:pStyle w:val="a3"/>
        <w:tabs>
          <w:tab w:val="clear" w:pos="0"/>
        </w:tabs>
        <w:ind w:firstLine="567"/>
        <w:rPr>
          <w:color w:val="000000"/>
          <w:sz w:val="24"/>
          <w:szCs w:val="24"/>
        </w:rPr>
      </w:pPr>
      <w:r>
        <w:rPr>
          <w:b/>
          <w:color w:val="000000"/>
          <w:sz w:val="24"/>
          <w:szCs w:val="24"/>
        </w:rPr>
        <w:t>6. Требования к языкам тендерной заявки</w:t>
      </w:r>
      <w:r>
        <w:rPr>
          <w:color w:val="000000"/>
          <w:sz w:val="24"/>
          <w:szCs w:val="24"/>
        </w:rPr>
        <w:t xml:space="preserve">: </w:t>
      </w:r>
      <w:r>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pPr>
        <w:pStyle w:val="Iauiue"/>
        <w:widowControl/>
        <w:ind w:firstLine="567"/>
        <w:rPr>
          <w:color w:val="000000"/>
          <w:sz w:val="24"/>
          <w:szCs w:val="24"/>
        </w:rPr>
      </w:pPr>
    </w:p>
    <w:p>
      <w:pPr>
        <w:pStyle w:val="Iauiue"/>
        <w:widowControl/>
        <w:ind w:firstLine="567"/>
        <w:rPr>
          <w:b/>
          <w:sz w:val="24"/>
          <w:szCs w:val="24"/>
        </w:rPr>
      </w:pPr>
      <w:r>
        <w:rPr>
          <w:color w:val="000000"/>
          <w:sz w:val="24"/>
          <w:szCs w:val="24"/>
        </w:rPr>
        <w:t xml:space="preserve">7. </w:t>
      </w:r>
      <w:r>
        <w:rPr>
          <w:b/>
          <w:sz w:val="24"/>
          <w:szCs w:val="24"/>
        </w:rPr>
        <w:t>Место, дата и время представления и вскрытия тендерных заявок</w:t>
      </w:r>
    </w:p>
    <w:p>
      <w:pPr>
        <w:pStyle w:val="a3"/>
        <w:tabs>
          <w:tab w:val="clear" w:pos="0"/>
        </w:tabs>
        <w:ind w:firstLine="567"/>
        <w:rPr>
          <w:sz w:val="24"/>
          <w:szCs w:val="24"/>
        </w:rPr>
      </w:pPr>
      <w:r>
        <w:rPr>
          <w:sz w:val="24"/>
          <w:szCs w:val="24"/>
        </w:rPr>
        <w:t xml:space="preserve">7.1.  </w:t>
      </w:r>
      <w:r>
        <w:rPr>
          <w:b/>
          <w:sz w:val="24"/>
          <w:szCs w:val="24"/>
        </w:rPr>
        <w:t>Тендерные заявки представляются организатору</w:t>
      </w:r>
      <w:r>
        <w:rPr>
          <w:sz w:val="24"/>
          <w:szCs w:val="24"/>
        </w:rPr>
        <w:t xml:space="preserve"> тендера нарочно или по почте по адресу: 130000, Мангистауская область г.Актау, ГКП на ПХВ «Областной онкологический диспансер», 24 микрорайон, больничный городок №2, 1 этаж, кабинет </w:t>
      </w:r>
      <w:r>
        <w:rPr>
          <w:sz w:val="24"/>
          <w:szCs w:val="24"/>
          <w:lang w:val="kk-KZ"/>
        </w:rPr>
        <w:t>бухгалтерий</w:t>
      </w:r>
      <w:r>
        <w:rPr>
          <w:sz w:val="24"/>
          <w:szCs w:val="24"/>
        </w:rPr>
        <w:t xml:space="preserve"> в срок</w:t>
      </w:r>
      <w:r>
        <w:rPr>
          <w:sz w:val="24"/>
          <w:szCs w:val="24"/>
          <w:lang w:val="kk-KZ"/>
        </w:rPr>
        <w:t xml:space="preserve"> </w:t>
      </w:r>
      <w:r>
        <w:rPr>
          <w:b/>
          <w:sz w:val="24"/>
          <w:szCs w:val="24"/>
          <w:lang w:val="kk-KZ"/>
        </w:rPr>
        <w:t xml:space="preserve">до </w:t>
      </w:r>
      <w:r>
        <w:rPr>
          <w:b/>
          <w:sz w:val="24"/>
          <w:szCs w:val="24"/>
        </w:rPr>
        <w:t>12.00 часов 4 июня</w:t>
      </w:r>
      <w:r>
        <w:rPr>
          <w:b/>
          <w:sz w:val="24"/>
          <w:szCs w:val="24"/>
          <w:lang w:val="kk-KZ"/>
        </w:rPr>
        <w:t xml:space="preserve"> </w:t>
      </w:r>
      <w:r>
        <w:rPr>
          <w:b/>
          <w:sz w:val="24"/>
          <w:szCs w:val="24"/>
        </w:rPr>
        <w:t xml:space="preserve">2018 года </w:t>
      </w:r>
      <w:r>
        <w:rPr>
          <w:sz w:val="24"/>
          <w:szCs w:val="24"/>
        </w:rPr>
        <w:t xml:space="preserve">включительно. </w:t>
      </w:r>
    </w:p>
    <w:p>
      <w:pPr>
        <w:pStyle w:val="30"/>
        <w:ind w:firstLine="567"/>
        <w:jc w:val="both"/>
        <w:rPr>
          <w:i/>
          <w:sz w:val="24"/>
          <w:szCs w:val="24"/>
        </w:rPr>
      </w:pPr>
      <w:r>
        <w:rPr>
          <w:sz w:val="24"/>
          <w:szCs w:val="24"/>
        </w:rPr>
        <w:t>7.2. В процедуре вскрытия конвертов с тендерными заявками могут присутствовать потенциальные поставщики либо их уполномоченные представители.</w:t>
      </w:r>
    </w:p>
    <w:p>
      <w:pPr>
        <w:pStyle w:val="a3"/>
        <w:tabs>
          <w:tab w:val="clear" w:pos="0"/>
        </w:tabs>
        <w:ind w:firstLine="567"/>
        <w:rPr>
          <w:i/>
          <w:sz w:val="24"/>
          <w:szCs w:val="24"/>
        </w:rPr>
      </w:pPr>
      <w:r>
        <w:rPr>
          <w:sz w:val="24"/>
          <w:szCs w:val="24"/>
        </w:rPr>
        <w:t xml:space="preserve">7.3.  </w:t>
      </w:r>
      <w:r>
        <w:rPr>
          <w:b/>
          <w:sz w:val="24"/>
          <w:szCs w:val="24"/>
        </w:rPr>
        <w:t>Тендерная  комиссия вскрывает</w:t>
      </w:r>
      <w:r>
        <w:rPr>
          <w:sz w:val="24"/>
          <w:szCs w:val="24"/>
        </w:rPr>
        <w:t xml:space="preserve"> конверты с тендерными  заявками в присутствии всех прибывших потенциальных поставщиков, или их уполномоченных представителей </w:t>
      </w:r>
      <w:r>
        <w:rPr>
          <w:b/>
          <w:sz w:val="24"/>
          <w:szCs w:val="24"/>
        </w:rPr>
        <w:t>4 июня</w:t>
      </w:r>
      <w:r>
        <w:rPr>
          <w:b/>
          <w:sz w:val="24"/>
          <w:szCs w:val="24"/>
          <w:lang w:val="kk-KZ"/>
        </w:rPr>
        <w:t xml:space="preserve"> </w:t>
      </w:r>
      <w:r>
        <w:rPr>
          <w:b/>
          <w:sz w:val="24"/>
          <w:szCs w:val="24"/>
        </w:rPr>
        <w:t>2018 года в 1</w:t>
      </w:r>
      <w:r>
        <w:rPr>
          <w:b/>
          <w:sz w:val="24"/>
          <w:szCs w:val="24"/>
          <w:lang w:val="kk-KZ"/>
        </w:rPr>
        <w:t>5</w:t>
      </w:r>
      <w:r>
        <w:rPr>
          <w:b/>
          <w:sz w:val="24"/>
          <w:szCs w:val="24"/>
        </w:rPr>
        <w:t>.</w:t>
      </w:r>
      <w:r>
        <w:rPr>
          <w:b/>
          <w:sz w:val="24"/>
          <w:szCs w:val="24"/>
          <w:lang w:val="kk-KZ"/>
        </w:rPr>
        <w:t>0</w:t>
      </w:r>
      <w:r>
        <w:rPr>
          <w:b/>
          <w:sz w:val="24"/>
          <w:szCs w:val="24"/>
        </w:rPr>
        <w:t>0 часов 00 минут</w:t>
      </w:r>
      <w:r>
        <w:rPr>
          <w:sz w:val="24"/>
          <w:szCs w:val="24"/>
        </w:rPr>
        <w:t>, по адресу Мангистауская область г.Актау, ГКП на ПХВ «Областной онкологический диспансер», 24 микрорайон, больничный городок №2, кабинет бухгалтерий.</w:t>
      </w:r>
    </w:p>
    <w:p>
      <w:pPr>
        <w:pStyle w:val="ac"/>
        <w:ind w:firstLine="567"/>
        <w:jc w:val="both"/>
        <w:rPr>
          <w:snapToGrid w:val="0"/>
          <w:sz w:val="24"/>
          <w:szCs w:val="24"/>
        </w:rPr>
      </w:pPr>
      <w:r>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pPr>
        <w:ind w:firstLine="567"/>
        <w:rPr>
          <w:color w:val="000000"/>
          <w:sz w:val="24"/>
          <w:szCs w:val="24"/>
        </w:rPr>
      </w:pPr>
    </w:p>
    <w:p>
      <w:pPr>
        <w:pStyle w:val="Iauiue"/>
        <w:ind w:firstLine="567"/>
        <w:rPr>
          <w:b/>
          <w:sz w:val="24"/>
          <w:szCs w:val="24"/>
        </w:rPr>
      </w:pPr>
      <w:r>
        <w:rPr>
          <w:b/>
          <w:sz w:val="24"/>
          <w:szCs w:val="24"/>
        </w:rPr>
        <w:lastRenderedPageBreak/>
        <w:t>8. Внесение изменений, дополнений и разъяснения Тендерной документации</w:t>
      </w:r>
    </w:p>
    <w:p>
      <w:pPr>
        <w:pStyle w:val="-2"/>
        <w:ind w:firstLine="0"/>
        <w:rPr>
          <w:rFonts w:ascii="Times New Roman" w:hAnsi="Times New Roman"/>
          <w:sz w:val="24"/>
          <w:szCs w:val="24"/>
        </w:rPr>
      </w:pPr>
    </w:p>
    <w:p>
      <w:pPr>
        <w:pStyle w:val="-2"/>
        <w:ind w:firstLine="567"/>
        <w:rPr>
          <w:rFonts w:ascii="Times New Roman" w:hAnsi="Times New Roman"/>
          <w:sz w:val="24"/>
          <w:szCs w:val="24"/>
        </w:rPr>
      </w:pPr>
      <w:r>
        <w:rPr>
          <w:rFonts w:ascii="Times New Roman" w:hAnsi="Times New Roman"/>
          <w:sz w:val="24"/>
          <w:szCs w:val="24"/>
        </w:rPr>
        <w:t xml:space="preserve">8.1.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pPr>
        <w:pStyle w:val="-2"/>
        <w:ind w:firstLine="567"/>
        <w:rPr>
          <w:rFonts w:ascii="Times New Roman" w:hAnsi="Times New Roman"/>
          <w:b/>
          <w:sz w:val="24"/>
          <w:szCs w:val="24"/>
        </w:rPr>
      </w:pPr>
      <w:r>
        <w:rPr>
          <w:rFonts w:ascii="Times New Roman" w:hAnsi="Times New Roman"/>
          <w:sz w:val="24"/>
          <w:szCs w:val="24"/>
        </w:rPr>
        <w:t xml:space="preserve">8.2. </w:t>
      </w:r>
      <w:r>
        <w:rPr>
          <w:rFonts w:ascii="Times New Roman" w:hAnsi="Times New Roman"/>
          <w:snapToGrid/>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pPr>
        <w:pStyle w:val="a3"/>
        <w:tabs>
          <w:tab w:val="clear" w:pos="0"/>
        </w:tabs>
        <w:ind w:firstLine="567"/>
        <w:rPr>
          <w:sz w:val="24"/>
          <w:szCs w:val="24"/>
        </w:rPr>
      </w:pPr>
      <w:r>
        <w:rPr>
          <w:sz w:val="24"/>
          <w:szCs w:val="24"/>
        </w:rPr>
        <w:t>8.3. Организатор закупа при необходимости проводит встречу с потенциальными поставщиками для разъяснения условий тендера которая состоится  __.__.201__ года в ___ часов по адресу г.Актау, 24 микрорайон, Больничный городок № 2, кабинет бухгалтерий,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pPr>
        <w:ind w:firstLine="567"/>
        <w:rPr>
          <w:sz w:val="24"/>
          <w:szCs w:val="24"/>
        </w:rPr>
      </w:pPr>
    </w:p>
    <w:p>
      <w:pPr>
        <w:pStyle w:val="-2"/>
        <w:ind w:firstLine="567"/>
        <w:rPr>
          <w:rFonts w:ascii="Times New Roman" w:hAnsi="Times New Roman"/>
          <w:b/>
          <w:sz w:val="24"/>
          <w:szCs w:val="24"/>
        </w:rPr>
      </w:pPr>
      <w:r>
        <w:rPr>
          <w:rFonts w:ascii="Times New Roman" w:hAnsi="Times New Roman"/>
          <w:b/>
          <w:sz w:val="24"/>
          <w:szCs w:val="24"/>
        </w:rPr>
        <w:t>9. Оценка и сопоставление тендерных заявок</w:t>
      </w:r>
    </w:p>
    <w:p>
      <w:pPr>
        <w:pStyle w:val="-2"/>
        <w:ind w:firstLine="567"/>
        <w:jc w:val="center"/>
        <w:rPr>
          <w:rFonts w:ascii="Times New Roman" w:hAnsi="Times New Roman"/>
          <w:b/>
          <w:sz w:val="24"/>
          <w:szCs w:val="24"/>
        </w:rPr>
      </w:pPr>
    </w:p>
    <w:p>
      <w:pPr>
        <w:pStyle w:val="af0"/>
        <w:autoSpaceDE w:val="0"/>
        <w:autoSpaceDN w:val="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9.1.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pPr>
        <w:pStyle w:val="af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pPr>
        <w:pStyle w:val="af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9.2. Тендерная комиссия отклоняет тендерную заявку в целом или по лоту, в случаях:</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 непредставления гарантийного обеспечения тендерной заявки в соответствии с требованиями настоящих Правил;</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w:t>
      </w:r>
      <w:r>
        <w:rPr>
          <w:rFonts w:ascii="Times New Roman" w:hAnsi="Times New Roman"/>
          <w:color w:val="000000"/>
          <w:sz w:val="24"/>
          <w:szCs w:val="24"/>
        </w:rPr>
        <w:lastRenderedPageBreak/>
        <w:t xml:space="preserve">уведомлениях в случае отсутствия сведений в информационных системах государственных органов; </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10) непредставления сведений о квалификации по форме, утвержденной уполномоченным органом в области здравоохранения;</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11) непредставления технической спецификации в соответствии с требованиями настоящих Правил;</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13) установления факта представления недостоверной информации;</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14) применения процедуры банкротства, ликвидации и (или) наличия в перечне недобросовестных поставщиков;</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15) непредставления документов, подтверждающих соответствие предлагаемых товаров, требованиям, предусмотренным главой 4 настоящих Правил;</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GDP;</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 xml:space="preserve">17) установленных пунктами 26, 30 настоящих Правил; </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18) если тендерная заявка имеет более короткий срок действия, чем указано в условиях в тендерной документации;</w:t>
      </w:r>
    </w:p>
    <w:p>
      <w:pPr>
        <w:pStyle w:val="af0"/>
        <w:autoSpaceDE w:val="0"/>
        <w:autoSpaceDN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19) если не представлена, либо представлена не подписанная таблица цен;</w:t>
      </w:r>
    </w:p>
    <w:p>
      <w:pPr>
        <w:pStyle w:val="af0"/>
        <w:autoSpaceDE w:val="0"/>
        <w:autoSpaceDN w:val="0"/>
        <w:spacing w:after="0" w:line="240" w:lineRule="auto"/>
        <w:ind w:left="0" w:firstLine="426"/>
        <w:jc w:val="both"/>
        <w:rPr>
          <w:rFonts w:ascii="Times New Roman" w:hAnsi="Times New Roman"/>
          <w:sz w:val="24"/>
          <w:szCs w:val="24"/>
        </w:rPr>
      </w:pPr>
      <w:r>
        <w:rPr>
          <w:rFonts w:ascii="Times New Roman" w:hAnsi="Times New Roman"/>
          <w:color w:val="000000"/>
          <w:sz w:val="24"/>
          <w:szCs w:val="24"/>
        </w:rPr>
        <w:t>20)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pPr>
        <w:pStyle w:val="af0"/>
        <w:autoSpaceDE w:val="0"/>
        <w:autoSpaceDN w:val="0"/>
        <w:spacing w:after="0" w:line="240" w:lineRule="auto"/>
        <w:ind w:left="0" w:firstLine="426"/>
        <w:jc w:val="both"/>
        <w:rPr>
          <w:rFonts w:ascii="Times New Roman" w:hAnsi="Times New Roman"/>
          <w:sz w:val="24"/>
          <w:szCs w:val="24"/>
          <w:lang w:eastAsia="ru-RU"/>
        </w:rPr>
      </w:pPr>
      <w:r>
        <w:rPr>
          <w:rFonts w:ascii="Times New Roman" w:hAnsi="Times New Roman"/>
          <w:color w:val="000000"/>
          <w:sz w:val="24"/>
          <w:szCs w:val="24"/>
        </w:rPr>
        <w:t>21)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pPr>
        <w:pStyle w:val="af0"/>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9.3.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pPr>
        <w:pStyle w:val="af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pPr>
        <w:pStyle w:val="af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9.5. Закуп способом тендера или его какой - либо лот признаются несостоявшимися по одному из следующих оснований:</w:t>
      </w:r>
    </w:p>
    <w:p>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lastRenderedPageBreak/>
        <w:t>отсутствия представленных тендерных заявок;</w:t>
      </w:r>
    </w:p>
    <w:p>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представления менее двух тендерных заявок;</w:t>
      </w:r>
    </w:p>
    <w:p>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если не допущен ни один потенциальный поставщик;</w:t>
      </w:r>
    </w:p>
    <w:p>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если допущен один потенциальный поставщик.</w:t>
      </w:r>
    </w:p>
    <w:p>
      <w:pPr>
        <w:pStyle w:val="af0"/>
        <w:autoSpaceDE w:val="0"/>
        <w:autoSpaceDN w:val="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9.6. </w:t>
      </w:r>
      <w:r>
        <w:rPr>
          <w:rFonts w:ascii="Times New Roman" w:hAnsi="Times New Roman"/>
          <w:sz w:val="24"/>
          <w:szCs w:val="24"/>
        </w:rPr>
        <w:t>Победитель тендера определяется на основе наименьшей цены.</w:t>
      </w:r>
    </w:p>
    <w:p>
      <w:pPr>
        <w:ind w:firstLine="567"/>
        <w:rPr>
          <w:color w:val="000000"/>
          <w:sz w:val="24"/>
          <w:szCs w:val="24"/>
        </w:rPr>
      </w:pPr>
    </w:p>
    <w:p>
      <w:pPr>
        <w:ind w:firstLine="567"/>
        <w:rPr>
          <w:b/>
          <w:color w:val="000000"/>
          <w:sz w:val="24"/>
          <w:szCs w:val="24"/>
        </w:rPr>
      </w:pPr>
      <w:r>
        <w:rPr>
          <w:b/>
          <w:color w:val="000000"/>
          <w:sz w:val="24"/>
          <w:szCs w:val="24"/>
        </w:rPr>
        <w:t>10. Поддержка отечественных производителей товаров.</w:t>
      </w:r>
    </w:p>
    <w:p>
      <w:pPr>
        <w:ind w:firstLine="567"/>
        <w:rPr>
          <w:color w:val="000000"/>
          <w:sz w:val="24"/>
          <w:szCs w:val="24"/>
        </w:rPr>
      </w:pPr>
      <w:r>
        <w:rPr>
          <w:color w:val="000000"/>
          <w:sz w:val="24"/>
          <w:szCs w:val="24"/>
        </w:rPr>
        <w:t>10.1. В случае,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Pr>
          <w:sz w:val="24"/>
          <w:szCs w:val="24"/>
        </w:rPr>
        <w:br/>
      </w:r>
      <w:r>
        <w:rPr>
          <w:color w:val="000000"/>
          <w:sz w:val="24"/>
          <w:szCs w:val="24"/>
        </w:rPr>
        <w:t xml:space="preserve">10.2.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 </w:t>
      </w:r>
      <w:r>
        <w:rPr>
          <w:sz w:val="24"/>
          <w:szCs w:val="24"/>
        </w:rPr>
        <w:br/>
      </w:r>
      <w:r>
        <w:rPr>
          <w:color w:val="000000"/>
          <w:sz w:val="24"/>
          <w:szCs w:val="24"/>
        </w:rPr>
        <w:t>10.3.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Pr>
          <w:sz w:val="24"/>
          <w:szCs w:val="24"/>
        </w:rPr>
        <w:br/>
      </w:r>
      <w:r>
        <w:rPr>
          <w:color w:val="000000"/>
          <w:sz w:val="24"/>
          <w:szCs w:val="24"/>
        </w:rPr>
        <w:t>10.4.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pPr>
        <w:rPr>
          <w:sz w:val="24"/>
          <w:szCs w:val="24"/>
        </w:rPr>
      </w:pPr>
    </w:p>
    <w:p>
      <w:pPr>
        <w:pStyle w:val="Iauiue"/>
        <w:widowControl/>
        <w:ind w:firstLine="709"/>
        <w:rPr>
          <w:rStyle w:val="s1"/>
          <w:bCs w:val="0"/>
          <w:color w:val="auto"/>
          <w:sz w:val="24"/>
          <w:szCs w:val="24"/>
        </w:rPr>
      </w:pPr>
      <w:r>
        <w:rPr>
          <w:b/>
          <w:sz w:val="24"/>
          <w:szCs w:val="24"/>
        </w:rPr>
        <w:t>11.</w:t>
      </w:r>
      <w:r>
        <w:rPr>
          <w:rStyle w:val="a8"/>
          <w:bCs/>
          <w:color w:val="auto"/>
          <w:sz w:val="24"/>
          <w:szCs w:val="24"/>
          <w:u w:val="none"/>
        </w:rPr>
        <w:t xml:space="preserve"> </w:t>
      </w:r>
      <w:r>
        <w:rPr>
          <w:b/>
          <w:sz w:val="24"/>
          <w:szCs w:val="24"/>
        </w:rPr>
        <w:t>Поддержка предпринимательской инициативы</w:t>
      </w:r>
    </w:p>
    <w:p>
      <w:pPr>
        <w:pStyle w:val="af0"/>
        <w:spacing w:after="0" w:line="240" w:lineRule="auto"/>
        <w:ind w:left="0" w:firstLine="709"/>
        <w:jc w:val="both"/>
        <w:rPr>
          <w:rStyle w:val="s0"/>
          <w:sz w:val="24"/>
          <w:szCs w:val="24"/>
          <w:lang w:eastAsia="ru-RU"/>
        </w:rPr>
      </w:pPr>
      <w:r>
        <w:rPr>
          <w:rStyle w:val="s0"/>
          <w:sz w:val="24"/>
          <w:szCs w:val="24"/>
          <w:lang w:eastAsia="ru-RU"/>
        </w:rPr>
        <w:t>11.1.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pPr>
        <w:pStyle w:val="af0"/>
        <w:spacing w:after="0" w:line="240" w:lineRule="auto"/>
        <w:ind w:left="0"/>
        <w:jc w:val="both"/>
        <w:rPr>
          <w:rStyle w:val="s0"/>
          <w:sz w:val="24"/>
          <w:szCs w:val="24"/>
          <w:lang w:eastAsia="ru-RU"/>
        </w:rPr>
      </w:pPr>
      <w:r>
        <w:rPr>
          <w:rStyle w:val="s0"/>
          <w:sz w:val="24"/>
          <w:szCs w:val="24"/>
          <w:lang w:eastAsia="ru-RU"/>
        </w:rPr>
        <w:t>1) надлежащей дистрибьюторской практики (GDP) при закупе лекарственных средств, фармацевтических услуг;</w:t>
      </w:r>
    </w:p>
    <w:p>
      <w:pPr>
        <w:pStyle w:val="af0"/>
        <w:spacing w:after="0" w:line="240" w:lineRule="auto"/>
        <w:ind w:left="0"/>
        <w:jc w:val="both"/>
        <w:rPr>
          <w:rStyle w:val="s0"/>
          <w:sz w:val="24"/>
          <w:szCs w:val="24"/>
          <w:lang w:eastAsia="ru-RU"/>
        </w:rPr>
      </w:pPr>
      <w:r>
        <w:rPr>
          <w:rStyle w:val="s0"/>
          <w:sz w:val="24"/>
          <w:szCs w:val="24"/>
          <w:lang w:eastAsia="ru-RU"/>
        </w:rPr>
        <w:t>2) надлежащей аптечной практики (GРP) при закупе фармацевтических услуг.</w:t>
      </w:r>
    </w:p>
    <w:p>
      <w:pPr>
        <w:pStyle w:val="af0"/>
        <w:spacing w:after="0" w:line="240" w:lineRule="auto"/>
        <w:ind w:left="0" w:firstLine="709"/>
        <w:jc w:val="both"/>
        <w:rPr>
          <w:rStyle w:val="s0"/>
          <w:sz w:val="24"/>
          <w:szCs w:val="24"/>
          <w:lang w:eastAsia="ru-RU"/>
        </w:rPr>
      </w:pPr>
      <w:r>
        <w:rPr>
          <w:rStyle w:val="s0"/>
          <w:sz w:val="24"/>
          <w:szCs w:val="24"/>
          <w:lang w:eastAsia="ru-RU"/>
        </w:rPr>
        <w:t>11.2.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p>
    <w:p>
      <w:pPr>
        <w:pStyle w:val="af0"/>
        <w:spacing w:after="0" w:line="240" w:lineRule="auto"/>
        <w:ind w:left="0" w:firstLine="709"/>
        <w:jc w:val="both"/>
        <w:rPr>
          <w:rStyle w:val="s0"/>
          <w:sz w:val="24"/>
          <w:szCs w:val="24"/>
          <w:lang w:eastAsia="ru-RU"/>
        </w:rPr>
      </w:pPr>
      <w:r>
        <w:rPr>
          <w:rStyle w:val="s0"/>
          <w:sz w:val="24"/>
          <w:szCs w:val="24"/>
          <w:lang w:eastAsia="ru-RU"/>
        </w:rPr>
        <w:t>11.3. Если в лоте участвует только один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GDP, то комиссия признает данный лот несостоявшимся. Организатор закупа переходит к закупу способом из одного источника у данного потенциального поставщика по цене, не превышающем его ценовое предложение.</w:t>
      </w:r>
    </w:p>
    <w:p>
      <w:pPr>
        <w:pStyle w:val="af0"/>
        <w:spacing w:after="0" w:line="240" w:lineRule="auto"/>
        <w:ind w:left="0" w:firstLine="567"/>
        <w:jc w:val="both"/>
        <w:rPr>
          <w:rStyle w:val="s0"/>
          <w:sz w:val="24"/>
          <w:szCs w:val="24"/>
          <w:lang w:eastAsia="ru-RU"/>
        </w:rPr>
      </w:pPr>
      <w:r>
        <w:rPr>
          <w:rStyle w:val="s0"/>
          <w:sz w:val="24"/>
          <w:szCs w:val="24"/>
          <w:lang w:eastAsia="ru-RU"/>
        </w:rPr>
        <w:t>11.4. Если в лоте участвуют два и более потенциальных поставщиков, представившие тендерные заявки, соответствующие требованиям настоящих Правил и сертификат о соответствии объекта требованиям GDP, то комиссия рассматривает только их тендерные заявки, а тендерные заявки других участников (при их наличии) отклоняются.</w:t>
      </w:r>
    </w:p>
    <w:p>
      <w:pPr>
        <w:pStyle w:val="Iauiue"/>
        <w:widowControl/>
        <w:ind w:left="567"/>
        <w:rPr>
          <w:b/>
          <w:sz w:val="24"/>
          <w:szCs w:val="24"/>
        </w:rPr>
      </w:pPr>
      <w:r>
        <w:rPr>
          <w:sz w:val="24"/>
          <w:szCs w:val="24"/>
        </w:rPr>
        <w:br/>
      </w:r>
      <w:r>
        <w:rPr>
          <w:b/>
          <w:color w:val="000000"/>
          <w:sz w:val="24"/>
          <w:szCs w:val="24"/>
        </w:rPr>
        <w:t>12.</w:t>
      </w:r>
      <w:r>
        <w:rPr>
          <w:color w:val="000000"/>
          <w:sz w:val="24"/>
          <w:szCs w:val="24"/>
        </w:rPr>
        <w:t xml:space="preserve"> </w:t>
      </w:r>
      <w:r>
        <w:rPr>
          <w:b/>
          <w:sz w:val="24"/>
          <w:szCs w:val="24"/>
        </w:rPr>
        <w:t>Гарантийное обеспечение исполнения договора</w:t>
      </w:r>
    </w:p>
    <w:p>
      <w:pPr>
        <w:pStyle w:val="Iauiue"/>
        <w:widowControl/>
        <w:ind w:firstLine="567"/>
        <w:jc w:val="both"/>
        <w:rPr>
          <w:sz w:val="24"/>
          <w:szCs w:val="24"/>
        </w:rPr>
      </w:pPr>
      <w:r>
        <w:rPr>
          <w:sz w:val="24"/>
          <w:szCs w:val="24"/>
        </w:rPr>
        <w:t>12.1.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Pr>
          <w:i/>
          <w:sz w:val="24"/>
          <w:szCs w:val="24"/>
        </w:rPr>
        <w:t xml:space="preserve"> </w:t>
      </w:r>
      <w:r>
        <w:rPr>
          <w:sz w:val="24"/>
          <w:szCs w:val="24"/>
        </w:rPr>
        <w:t>от цены договора закупа и предоставляется в виде:</w:t>
      </w:r>
    </w:p>
    <w:p>
      <w:pPr>
        <w:pStyle w:val="Iauiue"/>
        <w:widowControl/>
        <w:jc w:val="both"/>
        <w:rPr>
          <w:rStyle w:val="s0"/>
          <w:color w:val="auto"/>
          <w:sz w:val="24"/>
          <w:szCs w:val="24"/>
        </w:rPr>
      </w:pPr>
      <w:r>
        <w:rPr>
          <w:sz w:val="24"/>
          <w:szCs w:val="24"/>
        </w:rPr>
        <w:lastRenderedPageBreak/>
        <w:t xml:space="preserve">1) </w:t>
      </w:r>
      <w:r>
        <w:rPr>
          <w:rStyle w:val="s0"/>
          <w:sz w:val="24"/>
          <w:szCs w:val="24"/>
        </w:rPr>
        <w:t>гарантийного взноса в виде денежных средств, размещаемых в обслуживающем банке организатора;</w:t>
      </w:r>
    </w:p>
    <w:p>
      <w:pPr>
        <w:pStyle w:val="Iauiue"/>
        <w:widowControl/>
        <w:jc w:val="both"/>
        <w:rPr>
          <w:rStyle w:val="s0"/>
          <w:sz w:val="24"/>
          <w:szCs w:val="24"/>
        </w:rPr>
      </w:pPr>
      <w:r>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r>
        <w:rPr>
          <w:sz w:val="24"/>
          <w:szCs w:val="24"/>
        </w:rPr>
        <w:t xml:space="preserve">согласно </w:t>
      </w:r>
      <w:r>
        <w:rPr>
          <w:b/>
          <w:sz w:val="24"/>
          <w:szCs w:val="24"/>
        </w:rPr>
        <w:t>Приложения 10</w:t>
      </w:r>
      <w:r>
        <w:rPr>
          <w:sz w:val="24"/>
          <w:szCs w:val="24"/>
        </w:rPr>
        <w:t xml:space="preserve"> к тендерной документации.</w:t>
      </w:r>
      <w:r>
        <w:rPr>
          <w:rStyle w:val="s0"/>
          <w:sz w:val="24"/>
          <w:szCs w:val="24"/>
        </w:rPr>
        <w:t xml:space="preserve"> </w:t>
      </w:r>
    </w:p>
    <w:p>
      <w:pPr>
        <w:pStyle w:val="Iauiue"/>
        <w:widowControl/>
        <w:ind w:firstLine="709"/>
        <w:jc w:val="both"/>
        <w:rPr>
          <w:sz w:val="24"/>
          <w:szCs w:val="24"/>
        </w:rPr>
      </w:pPr>
      <w:r>
        <w:rPr>
          <w:sz w:val="24"/>
          <w:szCs w:val="24"/>
        </w:rPr>
        <w:t xml:space="preserve">12.2. </w:t>
      </w:r>
      <w:r>
        <w:rPr>
          <w:rStyle w:val="s0"/>
          <w:sz w:val="24"/>
          <w:szCs w:val="24"/>
        </w:rPr>
        <w:t xml:space="preserve">Гарантийное обеспечение не вносится, если цена </w:t>
      </w:r>
      <w:r>
        <w:rPr>
          <w:rStyle w:val="s0"/>
          <w:bCs/>
          <w:sz w:val="24"/>
          <w:szCs w:val="24"/>
        </w:rPr>
        <w:t xml:space="preserve">договора закупа </w:t>
      </w:r>
      <w:r>
        <w:rPr>
          <w:rStyle w:val="s0"/>
          <w:sz w:val="24"/>
          <w:szCs w:val="24"/>
        </w:rPr>
        <w:t>не превышает двух тысячекратного размера месячного расчетного показателя на соответствующий финансовый год</w:t>
      </w:r>
      <w:r>
        <w:rPr>
          <w:sz w:val="24"/>
          <w:szCs w:val="24"/>
        </w:rPr>
        <w:t>.</w:t>
      </w:r>
    </w:p>
    <w:p>
      <w:pPr>
        <w:pStyle w:val="Iauiue"/>
        <w:widowControl/>
        <w:ind w:firstLine="709"/>
        <w:jc w:val="both"/>
        <w:rPr>
          <w:rStyle w:val="s0"/>
          <w:color w:val="auto"/>
          <w:sz w:val="24"/>
          <w:szCs w:val="24"/>
        </w:rPr>
      </w:pPr>
      <w:r>
        <w:rPr>
          <w:rStyle w:val="s0"/>
          <w:sz w:val="24"/>
          <w:szCs w:val="24"/>
        </w:rPr>
        <w:t xml:space="preserve">12.3. </w:t>
      </w:r>
      <w:r>
        <w:rPr>
          <w:rStyle w:val="s0"/>
          <w:bCs/>
          <w:sz w:val="24"/>
          <w:szCs w:val="24"/>
        </w:rPr>
        <w:t xml:space="preserve">Гарантийное обеспечение исполнения договора </w:t>
      </w:r>
      <w:r>
        <w:rPr>
          <w:rStyle w:val="s0"/>
          <w:sz w:val="24"/>
          <w:szCs w:val="24"/>
        </w:rPr>
        <w:t>закупа</w:t>
      </w:r>
      <w:r>
        <w:rPr>
          <w:rStyle w:val="s0"/>
          <w:bCs/>
          <w:sz w:val="24"/>
          <w:szCs w:val="24"/>
        </w:rPr>
        <w:t xml:space="preserve"> не возвращается в случае:</w:t>
      </w:r>
    </w:p>
    <w:p>
      <w:pPr>
        <w:pStyle w:val="af0"/>
        <w:numPr>
          <w:ilvl w:val="3"/>
          <w:numId w:val="35"/>
        </w:numPr>
        <w:autoSpaceDE w:val="0"/>
        <w:autoSpaceDN w:val="0"/>
        <w:spacing w:after="0" w:line="240" w:lineRule="auto"/>
        <w:ind w:left="0" w:firstLine="0"/>
        <w:jc w:val="both"/>
        <w:rPr>
          <w:rStyle w:val="s0"/>
          <w:bCs/>
          <w:sz w:val="24"/>
          <w:szCs w:val="24"/>
          <w:lang w:eastAsia="ru-RU"/>
        </w:rPr>
      </w:pPr>
      <w:r>
        <w:rPr>
          <w:rStyle w:val="s0"/>
          <w:bCs/>
          <w:sz w:val="24"/>
          <w:szCs w:val="24"/>
          <w:lang w:eastAsia="ru-RU"/>
        </w:rPr>
        <w:t xml:space="preserve">расторжения договора </w:t>
      </w:r>
      <w:r>
        <w:rPr>
          <w:rStyle w:val="s0"/>
          <w:sz w:val="24"/>
          <w:szCs w:val="24"/>
          <w:lang w:eastAsia="ru-RU"/>
        </w:rPr>
        <w:t>закупа</w:t>
      </w:r>
      <w:r>
        <w:rPr>
          <w:rStyle w:val="s0"/>
          <w:bCs/>
          <w:sz w:val="24"/>
          <w:szCs w:val="24"/>
          <w:lang w:eastAsia="ru-RU"/>
        </w:rPr>
        <w:t xml:space="preserve"> в связи с неисполнением или ненадлежащим исполнением поставщиком договорных обязательств;</w:t>
      </w:r>
    </w:p>
    <w:p>
      <w:pPr>
        <w:pStyle w:val="af0"/>
        <w:numPr>
          <w:ilvl w:val="3"/>
          <w:numId w:val="35"/>
        </w:numPr>
        <w:autoSpaceDE w:val="0"/>
        <w:autoSpaceDN w:val="0"/>
        <w:spacing w:after="0" w:line="240" w:lineRule="auto"/>
        <w:ind w:left="0" w:firstLine="0"/>
        <w:jc w:val="both"/>
        <w:rPr>
          <w:rStyle w:val="s0"/>
          <w:bCs/>
          <w:sz w:val="24"/>
          <w:szCs w:val="24"/>
          <w:lang w:eastAsia="ru-RU"/>
        </w:rPr>
      </w:pPr>
      <w:r>
        <w:rPr>
          <w:rStyle w:val="s0"/>
          <w:bCs/>
          <w:sz w:val="24"/>
          <w:szCs w:val="24"/>
          <w:lang w:eastAsia="ru-RU"/>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pPr>
        <w:jc w:val="both"/>
        <w:rPr>
          <w:rStyle w:val="s0"/>
          <w:sz w:val="24"/>
          <w:szCs w:val="24"/>
        </w:rPr>
      </w:pPr>
      <w:r>
        <w:rPr>
          <w:rStyle w:val="s0"/>
          <w:bCs/>
          <w:sz w:val="24"/>
          <w:szCs w:val="24"/>
        </w:rPr>
        <w:t xml:space="preserve">3) не уплаты штрафных санкций за неисполнение или ненадлежащее исполнение, предусмотренных </w:t>
      </w:r>
      <w:r>
        <w:rPr>
          <w:rStyle w:val="s0"/>
          <w:sz w:val="24"/>
          <w:szCs w:val="24"/>
        </w:rPr>
        <w:t>договором закупа.</w:t>
      </w:r>
    </w:p>
    <w:p>
      <w:pPr>
        <w:ind w:firstLine="567"/>
        <w:rPr>
          <w:color w:val="000000"/>
          <w:sz w:val="24"/>
          <w:szCs w:val="24"/>
        </w:rPr>
      </w:pPr>
    </w:p>
    <w:p>
      <w:pPr>
        <w:ind w:firstLine="567"/>
        <w:rPr>
          <w:b/>
          <w:color w:val="000000"/>
          <w:sz w:val="24"/>
          <w:szCs w:val="24"/>
        </w:rPr>
      </w:pPr>
      <w:r>
        <w:rPr>
          <w:b/>
          <w:color w:val="000000"/>
          <w:sz w:val="24"/>
          <w:szCs w:val="24"/>
        </w:rPr>
        <w:t>13. Требования к товарам, установленные главой 4 настоящих Правил.</w:t>
      </w:r>
    </w:p>
    <w:p>
      <w:pPr>
        <w:ind w:firstLine="567"/>
        <w:jc w:val="both"/>
        <w:rPr>
          <w:color w:val="000000"/>
          <w:sz w:val="24"/>
          <w:szCs w:val="24"/>
        </w:rPr>
      </w:pPr>
      <w:r>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pPr>
        <w:jc w:val="both"/>
        <w:rPr>
          <w:color w:val="000000"/>
          <w:sz w:val="24"/>
          <w:szCs w:val="24"/>
        </w:rPr>
      </w:pPr>
      <w:r>
        <w:rPr>
          <w:color w:val="000000"/>
          <w:sz w:val="24"/>
          <w:szCs w:val="24"/>
        </w:rPr>
        <w:t>      1)</w:t>
      </w:r>
      <w:r>
        <w:rPr>
          <w:b/>
          <w:color w:val="000000"/>
          <w:sz w:val="24"/>
          <w:szCs w:val="24"/>
        </w:rPr>
        <w:t xml:space="preserve"> </w:t>
      </w:r>
      <w:r>
        <w:rPr>
          <w:color w:val="000000"/>
          <w:sz w:val="24"/>
          <w:szCs w:val="24"/>
        </w:rPr>
        <w:t xml:space="preserve">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pPr>
        <w:jc w:val="both"/>
        <w:rPr>
          <w:color w:val="000000"/>
          <w:sz w:val="24"/>
          <w:szCs w:val="24"/>
        </w:rPr>
      </w:pPr>
      <w:r>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pPr>
        <w:jc w:val="both"/>
        <w:rPr>
          <w:color w:val="000000"/>
          <w:sz w:val="24"/>
          <w:szCs w:val="24"/>
        </w:rPr>
      </w:pPr>
      <w:r>
        <w:rPr>
          <w:color w:val="000000"/>
          <w:sz w:val="24"/>
          <w:szCs w:val="24"/>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Pr>
          <w:sz w:val="24"/>
          <w:szCs w:val="24"/>
        </w:rPr>
        <w:br/>
      </w:r>
      <w:r>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pPr>
        <w:jc w:val="both"/>
        <w:rPr>
          <w:color w:val="000000"/>
          <w:sz w:val="24"/>
          <w:szCs w:val="24"/>
        </w:rPr>
      </w:pPr>
      <w:r>
        <w:rPr>
          <w:color w:val="000000"/>
          <w:sz w:val="24"/>
          <w:szCs w:val="24"/>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Pr>
          <w:sz w:val="24"/>
          <w:szCs w:val="24"/>
        </w:rPr>
        <w:br/>
      </w:r>
      <w:r>
        <w:rPr>
          <w:color w:val="000000"/>
          <w:sz w:val="24"/>
          <w:szCs w:val="24"/>
        </w:rPr>
        <w:t xml:space="preserve">      4) срок годности лекарственных средств, профилактических (иммунобиологических, </w:t>
      </w:r>
      <w:r>
        <w:rPr>
          <w:color w:val="000000"/>
          <w:sz w:val="24"/>
          <w:szCs w:val="24"/>
        </w:rPr>
        <w:lastRenderedPageBreak/>
        <w:t>диагностических, дезинфицирующих) препаратов и изделий медицинского назначения на дату поставки поставщиком заказчику составляет:</w:t>
      </w:r>
    </w:p>
    <w:p>
      <w:pPr>
        <w:jc w:val="both"/>
        <w:rPr>
          <w:color w:val="000000"/>
          <w:sz w:val="24"/>
          <w:szCs w:val="24"/>
        </w:rPr>
      </w:pPr>
      <w:r>
        <w:rPr>
          <w:color w:val="000000"/>
          <w:sz w:val="24"/>
          <w:szCs w:val="24"/>
        </w:rPr>
        <w:t>      не менее пятидесяти процентов от указанного срока годности на упаковке (при сроке годности менее двух лет);</w:t>
      </w:r>
    </w:p>
    <w:p>
      <w:pPr>
        <w:jc w:val="both"/>
        <w:rPr>
          <w:color w:val="000000"/>
          <w:sz w:val="24"/>
          <w:szCs w:val="24"/>
        </w:rPr>
      </w:pPr>
      <w:r>
        <w:rPr>
          <w:color w:val="000000"/>
          <w:sz w:val="24"/>
          <w:szCs w:val="24"/>
        </w:rPr>
        <w:t>      не менее двенадцати месяцев от указанного срока годности на упаковке (при сроке годности два года и более);</w:t>
      </w:r>
    </w:p>
    <w:p>
      <w:pPr>
        <w:jc w:val="both"/>
        <w:rPr>
          <w:color w:val="000000"/>
          <w:sz w:val="24"/>
          <w:szCs w:val="24"/>
        </w:rPr>
      </w:pPr>
      <w:r>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pPr>
        <w:jc w:val="both"/>
        <w:rPr>
          <w:color w:val="000000"/>
          <w:sz w:val="24"/>
          <w:szCs w:val="24"/>
        </w:rPr>
      </w:pPr>
      <w:r>
        <w:rPr>
          <w:color w:val="000000"/>
          <w:sz w:val="24"/>
          <w:szCs w:val="24"/>
        </w:rPr>
        <w:t xml:space="preserve">       не менее шестидесяти процентов от указанного срока годности на упаковке (при сроке годности менее двух лет); </w:t>
      </w:r>
    </w:p>
    <w:p>
      <w:pPr>
        <w:jc w:val="both"/>
        <w:rPr>
          <w:color w:val="000000"/>
          <w:sz w:val="24"/>
          <w:szCs w:val="24"/>
        </w:rPr>
      </w:pPr>
      <w:r>
        <w:rPr>
          <w:color w:val="000000"/>
          <w:sz w:val="24"/>
          <w:szCs w:val="24"/>
        </w:rPr>
        <w:t>      не менее четырнадцати месяцев от указанного срока годности на упаковке (при сроке годности два года и более);</w:t>
      </w:r>
    </w:p>
    <w:p>
      <w:pPr>
        <w:jc w:val="both"/>
        <w:rPr>
          <w:color w:val="000000"/>
          <w:sz w:val="24"/>
          <w:szCs w:val="24"/>
        </w:rPr>
      </w:pPr>
      <w:r>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pPr>
        <w:jc w:val="both"/>
        <w:rPr>
          <w:color w:val="000000"/>
          <w:sz w:val="24"/>
          <w:szCs w:val="24"/>
        </w:rPr>
      </w:pPr>
      <w:r>
        <w:rPr>
          <w:color w:val="000000"/>
          <w:sz w:val="24"/>
          <w:szCs w:val="24"/>
        </w:rPr>
        <w:t>      не менее тридцати процентов от срока годности, указанного на упаковке (при сроке годности менее двух лет);</w:t>
      </w:r>
    </w:p>
    <w:p>
      <w:pPr>
        <w:jc w:val="both"/>
        <w:rPr>
          <w:color w:val="000000"/>
          <w:sz w:val="24"/>
          <w:szCs w:val="24"/>
        </w:rPr>
      </w:pPr>
      <w:r>
        <w:rPr>
          <w:color w:val="000000"/>
          <w:sz w:val="24"/>
          <w:szCs w:val="24"/>
        </w:rPr>
        <w:t>      не менее восьми месяцев от указанного срока годности на упаковке (при сроке годности два года и более);</w:t>
      </w:r>
    </w:p>
    <w:p>
      <w:pPr>
        <w:jc w:val="both"/>
        <w:rPr>
          <w:color w:val="000000"/>
          <w:sz w:val="24"/>
          <w:szCs w:val="24"/>
        </w:rPr>
      </w:pPr>
      <w:r>
        <w:rPr>
          <w:color w:val="000000"/>
          <w:sz w:val="24"/>
          <w:szCs w:val="24"/>
        </w:rPr>
        <w:t>      7) срок годности вакцин на дату поставки единым дистрибьютором заказчику составляет:</w:t>
      </w:r>
    </w:p>
    <w:p>
      <w:pPr>
        <w:jc w:val="both"/>
        <w:rPr>
          <w:color w:val="000000"/>
          <w:sz w:val="24"/>
          <w:szCs w:val="24"/>
        </w:rPr>
      </w:pPr>
      <w:r>
        <w:rPr>
          <w:color w:val="000000"/>
          <w:sz w:val="24"/>
          <w:szCs w:val="24"/>
        </w:rPr>
        <w:t>      не менее сорока процентов от указанного срока годности на упаковке (при сроке годности менее двух лет);</w:t>
      </w:r>
    </w:p>
    <w:p>
      <w:pPr>
        <w:jc w:val="both"/>
        <w:rPr>
          <w:color w:val="000000"/>
          <w:sz w:val="24"/>
          <w:szCs w:val="24"/>
        </w:rPr>
      </w:pPr>
      <w:r>
        <w:rPr>
          <w:color w:val="000000"/>
          <w:sz w:val="24"/>
          <w:szCs w:val="24"/>
        </w:rPr>
        <w:t>      не менее десяти месяцев от указанного срока годности на упаковке (при сроке годности два года и более);</w:t>
      </w:r>
    </w:p>
    <w:p>
      <w:pPr>
        <w:jc w:val="both"/>
        <w:rPr>
          <w:color w:val="000000"/>
          <w:sz w:val="24"/>
          <w:szCs w:val="24"/>
        </w:rPr>
      </w:pPr>
      <w:r>
        <w:rPr>
          <w:color w:val="000000"/>
          <w:sz w:val="24"/>
          <w:szCs w:val="24"/>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pPr>
        <w:jc w:val="both"/>
        <w:rPr>
          <w:color w:val="000000"/>
          <w:sz w:val="24"/>
          <w:szCs w:val="24"/>
        </w:rPr>
      </w:pPr>
      <w:r>
        <w:rPr>
          <w:color w:val="000000"/>
          <w:sz w:val="24"/>
          <w:szCs w:val="24"/>
        </w:rPr>
        <w:t>      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pPr>
        <w:jc w:val="both"/>
        <w:rPr>
          <w:color w:val="000000"/>
          <w:sz w:val="24"/>
          <w:szCs w:val="24"/>
        </w:rPr>
      </w:pPr>
      <w:r>
        <w:rPr>
          <w:color w:val="000000"/>
          <w:sz w:val="24"/>
          <w:szCs w:val="24"/>
        </w:rPr>
        <w:t>      10) биосимиляры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pPr>
        <w:jc w:val="both"/>
        <w:rPr>
          <w:color w:val="000000"/>
          <w:sz w:val="24"/>
          <w:szCs w:val="24"/>
        </w:rPr>
      </w:pPr>
      <w:r>
        <w:rPr>
          <w:color w:val="000000"/>
          <w:sz w:val="24"/>
          <w:szCs w:val="24"/>
        </w:rPr>
        <w:t>      11) наличие зарегистрированных цен лекарственных средств, изделий медицинского назначения, за исключением орфанных лекарственных средств.</w:t>
      </w:r>
    </w:p>
    <w:p>
      <w:pPr>
        <w:jc w:val="both"/>
        <w:rPr>
          <w:color w:val="000000"/>
          <w:sz w:val="24"/>
          <w:szCs w:val="24"/>
        </w:rPr>
      </w:pPr>
      <w:r>
        <w:rPr>
          <w:color w:val="000000"/>
          <w:sz w:val="24"/>
          <w:szCs w:val="24"/>
        </w:rPr>
        <w:t>     К закупаемой медицинской технике предъявляются следующие требования:</w:t>
      </w:r>
    </w:p>
    <w:p>
      <w:pPr>
        <w:jc w:val="both"/>
        <w:rPr>
          <w:color w:val="000000"/>
          <w:sz w:val="24"/>
          <w:szCs w:val="24"/>
        </w:rPr>
      </w:pPr>
      <w:r>
        <w:rPr>
          <w:color w:val="000000"/>
          <w:sz w:val="24"/>
          <w:szCs w:val="24"/>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pPr>
        <w:jc w:val="both"/>
        <w:rPr>
          <w:color w:val="000000"/>
          <w:sz w:val="24"/>
          <w:szCs w:val="24"/>
        </w:rPr>
      </w:pPr>
      <w:r>
        <w:rPr>
          <w:color w:val="000000"/>
          <w:sz w:val="24"/>
          <w:szCs w:val="24"/>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pPr>
        <w:jc w:val="both"/>
        <w:rPr>
          <w:color w:val="000000"/>
          <w:sz w:val="24"/>
          <w:szCs w:val="24"/>
        </w:rPr>
      </w:pPr>
      <w:r>
        <w:rPr>
          <w:color w:val="000000"/>
          <w:sz w:val="24"/>
          <w:szCs w:val="24"/>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pPr>
        <w:jc w:val="both"/>
        <w:rPr>
          <w:color w:val="000000"/>
          <w:sz w:val="24"/>
          <w:szCs w:val="24"/>
        </w:rPr>
      </w:pPr>
      <w:r>
        <w:rPr>
          <w:color w:val="000000"/>
          <w:sz w:val="24"/>
          <w:szCs w:val="24"/>
        </w:rPr>
        <w:t>      4) медицинская техника является новой и ранее неиспользованной, произведенной не позднее двадцати четырех месяцев к моменту поставки;</w:t>
      </w:r>
    </w:p>
    <w:p>
      <w:pPr>
        <w:jc w:val="both"/>
        <w:rPr>
          <w:color w:val="000000"/>
          <w:sz w:val="24"/>
          <w:szCs w:val="24"/>
        </w:rPr>
      </w:pPr>
      <w:r>
        <w:rPr>
          <w:color w:val="000000"/>
          <w:sz w:val="24"/>
          <w:szCs w:val="24"/>
        </w:rPr>
        <w:lastRenderedPageBreak/>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pPr>
        <w:jc w:val="both"/>
        <w:rPr>
          <w:sz w:val="24"/>
          <w:szCs w:val="24"/>
        </w:rPr>
      </w:pPr>
      <w:r>
        <w:rPr>
          <w:color w:val="000000"/>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Pr>
          <w:sz w:val="24"/>
          <w:szCs w:val="24"/>
        </w:rPr>
        <w:br/>
        <w:t>3.3. Потенциальный поставщик в подтверждение его соответствия квалификационным требования представляет организатору закупа документы, предусмотренные пунктом 7.5.</w:t>
      </w:r>
      <w:r>
        <w:rPr>
          <w:color w:val="FF0000"/>
          <w:sz w:val="24"/>
          <w:szCs w:val="24"/>
        </w:rPr>
        <w:t xml:space="preserve"> </w:t>
      </w:r>
      <w:r>
        <w:rPr>
          <w:sz w:val="24"/>
          <w:szCs w:val="24"/>
        </w:rPr>
        <w:t>настоящей Тендерной документации.</w:t>
      </w:r>
    </w:p>
    <w:p>
      <w:pPr>
        <w:jc w:val="both"/>
        <w:rPr>
          <w:sz w:val="24"/>
          <w:szCs w:val="24"/>
        </w:rPr>
      </w:pPr>
      <w:r>
        <w:rPr>
          <w:sz w:val="24"/>
          <w:szCs w:val="24"/>
        </w:rPr>
        <w:t xml:space="preserve">3.4. Организатор  тендера  не вправе предъявлять к потенциальному поставщику квалификационные требования, не предусмотренные Правилами. </w:t>
      </w:r>
    </w:p>
    <w:p>
      <w:pPr>
        <w:ind w:firstLine="567"/>
        <w:jc w:val="center"/>
        <w:rPr>
          <w:sz w:val="24"/>
          <w:szCs w:val="24"/>
        </w:rPr>
      </w:pPr>
    </w:p>
    <w:p>
      <w:pPr>
        <w:pStyle w:val="Iauiue"/>
        <w:widowControl/>
        <w:ind w:firstLine="709"/>
        <w:rPr>
          <w:b/>
          <w:sz w:val="24"/>
          <w:szCs w:val="24"/>
        </w:rPr>
      </w:pPr>
      <w:r>
        <w:rPr>
          <w:b/>
          <w:sz w:val="24"/>
          <w:szCs w:val="24"/>
        </w:rPr>
        <w:t>14. Заключение договора закупа лекарственных средств, изделий медицинского назначения.</w:t>
      </w:r>
    </w:p>
    <w:p>
      <w:pPr>
        <w:pStyle w:val="Iauiue"/>
        <w:widowControl/>
        <w:ind w:firstLine="567"/>
        <w:jc w:val="center"/>
        <w:rPr>
          <w:b/>
          <w:sz w:val="24"/>
          <w:szCs w:val="24"/>
        </w:rPr>
      </w:pPr>
    </w:p>
    <w:p>
      <w:pPr>
        <w:pStyle w:val="af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14.1. Организатор закупа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 составляемый по формам, согласно </w:t>
      </w:r>
      <w:r>
        <w:rPr>
          <w:rFonts w:ascii="Times New Roman" w:hAnsi="Times New Roman"/>
          <w:b/>
          <w:sz w:val="24"/>
          <w:szCs w:val="24"/>
          <w:lang w:eastAsia="ru-RU"/>
        </w:rPr>
        <w:t>Приложению 9</w:t>
      </w:r>
      <w:r>
        <w:rPr>
          <w:rFonts w:ascii="Times New Roman" w:hAnsi="Times New Roman"/>
          <w:sz w:val="24"/>
          <w:szCs w:val="24"/>
          <w:lang w:eastAsia="ru-RU"/>
        </w:rPr>
        <w:t xml:space="preserve"> к тендерной документации.</w:t>
      </w:r>
    </w:p>
    <w:p>
      <w:pPr>
        <w:pStyle w:val="af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14.2. В течение десяти рабочих дней со дня получения договора, победитель тендера подписывает его либо письменно уведомляет организатора закупа о несогласии с его условиями или отказе от подписания.</w:t>
      </w:r>
      <w:bookmarkStart w:id="3" w:name="SUB5800"/>
      <w:bookmarkStart w:id="4" w:name="SUB6200"/>
      <w:bookmarkEnd w:id="3"/>
      <w:bookmarkEnd w:id="4"/>
      <w:r>
        <w:rPr>
          <w:rFonts w:ascii="Times New Roman" w:hAnsi="Times New Roman"/>
          <w:sz w:val="24"/>
          <w:szCs w:val="24"/>
          <w:lang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pPr>
        <w:pStyle w:val="af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14.3. Договор закупа вступает в силу со дня подписания его уполномоченными представителями сторон, если иное не предусмотрено </w:t>
      </w:r>
      <w:hyperlink r:id="rId10" w:anchor="z1811" w:history="1">
        <w:r>
          <w:rPr>
            <w:rFonts w:ascii="Times New Roman" w:hAnsi="Times New Roman"/>
            <w:sz w:val="24"/>
            <w:szCs w:val="24"/>
            <w:lang w:eastAsia="ru-RU"/>
          </w:rPr>
          <w:t>законодательными актами</w:t>
        </w:r>
      </w:hyperlink>
      <w:r>
        <w:rPr>
          <w:rFonts w:ascii="Times New Roman" w:hAnsi="Times New Roman"/>
          <w:sz w:val="24"/>
          <w:szCs w:val="24"/>
          <w:lang w:eastAsia="ru-RU"/>
        </w:rPr>
        <w:t xml:space="preserve"> Республики Казахстан.</w:t>
      </w:r>
    </w:p>
    <w:p>
      <w:pPr>
        <w:pStyle w:val="af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14.4. Если победитель тендера уклонился от подписания договора закупа в установленный срок или не уведомил организатора закупа о несогласии с его условиями, то организатор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pPr>
        <w:pStyle w:val="af0"/>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14.5. Не допускается внесение каких-либо изменений и (или) новых условий в договор (за исключением уменьшения цены товара, объема), которые изменяет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pPr>
        <w:pStyle w:val="af0"/>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по взаимному согласию сторон в части уменьшения цены на товары и соответственно цены договора;</w:t>
      </w:r>
    </w:p>
    <w:p>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по взаимному согласию сторон в части уменьшения объема товаров.</w:t>
      </w:r>
    </w:p>
    <w:p>
      <w:pPr>
        <w:ind w:firstLine="567"/>
        <w:jc w:val="both"/>
        <w:rPr>
          <w:sz w:val="24"/>
          <w:szCs w:val="24"/>
        </w:rPr>
      </w:pPr>
      <w:r>
        <w:rPr>
          <w:sz w:val="24"/>
          <w:szCs w:val="24"/>
        </w:rPr>
        <w:t>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 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w:t>
      </w:r>
      <w:r>
        <w:rPr>
          <w:rStyle w:val="s0"/>
          <w:sz w:val="24"/>
          <w:szCs w:val="24"/>
        </w:rPr>
        <w:t>.</w:t>
      </w:r>
    </w:p>
    <w:p>
      <w:pPr>
        <w:ind w:firstLine="567"/>
        <w:jc w:val="center"/>
        <w:rPr>
          <w:sz w:val="24"/>
          <w:szCs w:val="24"/>
        </w:rPr>
      </w:pPr>
    </w:p>
    <w:p>
      <w:pPr>
        <w:ind w:firstLine="567"/>
        <w:jc w:val="center"/>
        <w:rPr>
          <w:sz w:val="24"/>
          <w:szCs w:val="24"/>
        </w:rPr>
      </w:pPr>
    </w:p>
    <w:sectPr>
      <w:footerReference w:type="even" r:id="rId11"/>
      <w:footerReference w:type="default" r:id="rId12"/>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6">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3">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4">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2"/>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5"/>
  </w:num>
  <w:num w:numId="15">
    <w:abstractNumId w:val="14"/>
  </w:num>
  <w:num w:numId="16">
    <w:abstractNumId w:val="23"/>
  </w:num>
  <w:num w:numId="17">
    <w:abstractNumId w:val="29"/>
  </w:num>
  <w:num w:numId="18">
    <w:abstractNumId w:val="34"/>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8"/>
  </w:num>
  <w:num w:numId="26">
    <w:abstractNumId w:val="30"/>
  </w:num>
  <w:num w:numId="27">
    <w:abstractNumId w:val="13"/>
  </w:num>
  <w:num w:numId="28">
    <w:abstractNumId w:val="2"/>
  </w:num>
  <w:num w:numId="29">
    <w:abstractNumId w:val="7"/>
  </w:num>
  <w:num w:numId="30">
    <w:abstractNumId w:val="27"/>
  </w:num>
  <w:num w:numId="31">
    <w:abstractNumId w:val="21"/>
  </w:num>
  <w:num w:numId="32">
    <w:abstractNumId w:val="31"/>
  </w:num>
  <w:num w:numId="33">
    <w:abstractNumId w:val="26"/>
  </w:num>
  <w:num w:numId="34">
    <w:abstractNumId w:val="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bCs/>
      <w:kern w:val="32"/>
      <w:sz w:val="32"/>
      <w:szCs w:val="32"/>
    </w:rPr>
  </w:style>
  <w:style w:type="paragraph" w:styleId="2">
    <w:name w:val="heading 2"/>
    <w:basedOn w:val="a"/>
    <w:next w:val="a"/>
    <w:qFormat/>
    <w:pPr>
      <w:keepNext/>
      <w:jc w:val="center"/>
      <w:outlineLvl w:val="1"/>
    </w:pPr>
    <w:rPr>
      <w:b/>
      <w:snapToGrid w:val="0"/>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6">
    <w:name w:val="heading 6"/>
    <w:basedOn w:val="a"/>
    <w:next w:val="a"/>
    <w:qFormat/>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pPr>
      <w:widowControl w:val="0"/>
    </w:pPr>
  </w:style>
  <w:style w:type="paragraph" w:styleId="20">
    <w:name w:val="Body Text 2"/>
    <w:basedOn w:val="a"/>
    <w:pPr>
      <w:widowControl w:val="0"/>
      <w:ind w:firstLine="720"/>
      <w:jc w:val="both"/>
    </w:pPr>
    <w:rPr>
      <w:sz w:val="28"/>
    </w:rPr>
  </w:style>
  <w:style w:type="paragraph" w:styleId="30">
    <w:name w:val="Body Text Indent 3"/>
    <w:basedOn w:val="a"/>
    <w:pPr>
      <w:ind w:firstLine="720"/>
    </w:pPr>
    <w:rPr>
      <w:sz w:val="28"/>
    </w:rPr>
  </w:style>
  <w:style w:type="paragraph" w:styleId="a3">
    <w:name w:val="Body Text"/>
    <w:basedOn w:val="a"/>
    <w:pPr>
      <w:tabs>
        <w:tab w:val="left" w:pos="0"/>
      </w:tabs>
      <w:jc w:val="both"/>
    </w:pPr>
    <w:rPr>
      <w:sz w:val="28"/>
    </w:rPr>
  </w:style>
  <w:style w:type="paragraph" w:customStyle="1" w:styleId="-2">
    <w:name w:val="Основной-2"/>
    <w:pPr>
      <w:ind w:firstLine="170"/>
      <w:jc w:val="both"/>
    </w:pPr>
    <w:rPr>
      <w:rFonts w:ascii="Гельветика" w:hAnsi="Гельветика"/>
      <w:snapToGrid w:val="0"/>
      <w:sz w:val="17"/>
    </w:rPr>
  </w:style>
  <w:style w:type="paragraph" w:styleId="31">
    <w:name w:val="Body Text 3"/>
    <w:basedOn w:val="a"/>
    <w:pPr>
      <w:jc w:val="center"/>
    </w:pPr>
    <w:rPr>
      <w:b/>
      <w:sz w:val="28"/>
    </w:rPr>
  </w:style>
  <w:style w:type="paragraph" w:styleId="a4">
    <w:name w:val="Body Text Indent"/>
    <w:basedOn w:val="a"/>
    <w:pPr>
      <w:spacing w:after="120"/>
      <w:ind w:left="283"/>
    </w:pPr>
  </w:style>
  <w:style w:type="character" w:styleId="a5">
    <w:name w:val="footnote reference"/>
    <w:semiHidden/>
    <w:rPr>
      <w:vertAlign w:val="superscript"/>
    </w:rPr>
  </w:style>
  <w:style w:type="paragraph" w:customStyle="1" w:styleId="21">
    <w:name w:val="Основной текст с отступом 21"/>
    <w:basedOn w:val="a"/>
    <w:pPr>
      <w:widowControl w:val="0"/>
      <w:ind w:firstLine="360"/>
    </w:pPr>
    <w:rPr>
      <w:sz w:val="28"/>
    </w:rPr>
  </w:style>
  <w:style w:type="paragraph" w:styleId="a6">
    <w:name w:val="Subtitle"/>
    <w:basedOn w:val="a"/>
    <w:qFormat/>
    <w:pPr>
      <w:jc w:val="center"/>
    </w:pPr>
    <w:rPr>
      <w:rFonts w:ascii="Times New Roman CYR" w:hAnsi="Times New Roman CYR"/>
      <w:b/>
      <w:caps/>
      <w:sz w:val="24"/>
    </w:rPr>
  </w:style>
  <w:style w:type="paragraph" w:styleId="a7">
    <w:name w:val="footnote text"/>
    <w:basedOn w:val="a"/>
    <w:semiHidden/>
  </w:style>
  <w:style w:type="character" w:styleId="a8">
    <w:name w:val="Hyperlink"/>
    <w:rPr>
      <w:rFonts w:ascii="Times New Roman" w:hAnsi="Times New Roman" w:cs="Times New Roman" w:hint="default"/>
      <w:color w:val="333399"/>
      <w:u w:val="single"/>
    </w:rPr>
  </w:style>
  <w:style w:type="character" w:customStyle="1" w:styleId="s0">
    <w:name w:val="s0"/>
    <w:uiPriority w:val="9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Pr>
      <w:rFonts w:ascii="Tahoma" w:hAnsi="Tahoma" w:cs="Tahoma"/>
      <w:sz w:val="16"/>
      <w:szCs w:val="16"/>
    </w:rPr>
  </w:style>
  <w:style w:type="paragraph" w:styleId="aa">
    <w:name w:val="footer"/>
    <w:basedOn w:val="a"/>
    <w:pPr>
      <w:tabs>
        <w:tab w:val="center" w:pos="4677"/>
        <w:tab w:val="right" w:pos="9355"/>
      </w:tabs>
    </w:pPr>
  </w:style>
  <w:style w:type="character" w:styleId="ab">
    <w:name w:val="page number"/>
    <w:basedOn w:val="a0"/>
  </w:style>
  <w:style w:type="paragraph" w:styleId="ac">
    <w:name w:val="No Spacing"/>
    <w:uiPriority w:val="1"/>
    <w:qFormat/>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pPr>
      <w:spacing w:before="100" w:beforeAutospacing="1" w:after="100" w:afterAutospacing="1"/>
    </w:pPr>
    <w:rPr>
      <w:sz w:val="24"/>
      <w:szCs w:val="24"/>
    </w:rPr>
  </w:style>
  <w:style w:type="paragraph" w:customStyle="1" w:styleId="af">
    <w:name w:val="Знак"/>
    <w:basedOn w:val="a"/>
    <w:autoRedefine/>
    <w:pPr>
      <w:spacing w:after="160" w:line="240" w:lineRule="exact"/>
    </w:pPr>
    <w:rPr>
      <w:rFonts w:eastAsia="SimSun"/>
      <w:b/>
      <w:sz w:val="28"/>
      <w:szCs w:val="24"/>
      <w:lang w:val="en-US" w:eastAsia="en-US"/>
    </w:rPr>
  </w:style>
  <w:style w:type="paragraph" w:customStyle="1" w:styleId="11">
    <w:name w:val="Абзац списка1"/>
    <w:basedOn w:val="a"/>
    <w:pPr>
      <w:spacing w:after="200" w:line="276" w:lineRule="auto"/>
      <w:ind w:left="720"/>
    </w:pPr>
    <w:rPr>
      <w:rFonts w:ascii="Calibri" w:hAnsi="Calibri"/>
      <w:sz w:val="28"/>
      <w:szCs w:val="28"/>
      <w:lang w:eastAsia="en-US"/>
    </w:rPr>
  </w:style>
  <w:style w:type="paragraph" w:styleId="af0">
    <w:name w:val="List Paragraph"/>
    <w:basedOn w:val="a"/>
    <w:uiPriority w:val="99"/>
    <w:qFormat/>
    <w:pPr>
      <w:spacing w:after="200" w:line="276" w:lineRule="auto"/>
      <w:ind w:left="720"/>
    </w:pPr>
    <w:rPr>
      <w:rFonts w:ascii="Calibri" w:hAnsi="Calibri"/>
      <w:sz w:val="28"/>
      <w:szCs w:val="28"/>
      <w:lang w:eastAsia="en-US"/>
    </w:rPr>
  </w:style>
  <w:style w:type="character" w:customStyle="1" w:styleId="s19">
    <w:name w:val="s19"/>
    <w:uiPriority w:val="99"/>
    <w:rPr>
      <w:rFonts w:ascii="Times New Roman" w:hAnsi="Times New Roman"/>
      <w:color w:val="008000"/>
    </w:rPr>
  </w:style>
  <w:style w:type="character" w:customStyle="1" w:styleId="10">
    <w:name w:val="Заголовок 1 Знак"/>
    <w:link w:val="1"/>
    <w:locked/>
    <w:rPr>
      <w:rFonts w:ascii="Arial" w:hAnsi="Arial" w:cs="Arial"/>
      <w:b/>
      <w:bCs/>
      <w:kern w:val="32"/>
      <w:sz w:val="32"/>
      <w:szCs w:val="32"/>
    </w:rPr>
  </w:style>
  <w:style w:type="paragraph" w:styleId="af1">
    <w:name w:val="header"/>
    <w:basedOn w:val="a"/>
    <w:link w:val="af2"/>
    <w:uiPriority w:val="99"/>
    <w:unhideWhenUsed/>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basedOn w:val="a0"/>
    <w:link w:val="af1"/>
    <w:uiPriority w:val="99"/>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bCs/>
      <w:kern w:val="32"/>
      <w:sz w:val="32"/>
      <w:szCs w:val="32"/>
    </w:rPr>
  </w:style>
  <w:style w:type="paragraph" w:styleId="2">
    <w:name w:val="heading 2"/>
    <w:basedOn w:val="a"/>
    <w:next w:val="a"/>
    <w:qFormat/>
    <w:pPr>
      <w:keepNext/>
      <w:jc w:val="center"/>
      <w:outlineLvl w:val="1"/>
    </w:pPr>
    <w:rPr>
      <w:b/>
      <w:snapToGrid w:val="0"/>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6">
    <w:name w:val="heading 6"/>
    <w:basedOn w:val="a"/>
    <w:next w:val="a"/>
    <w:qFormat/>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pPr>
      <w:widowControl w:val="0"/>
    </w:pPr>
  </w:style>
  <w:style w:type="paragraph" w:styleId="20">
    <w:name w:val="Body Text 2"/>
    <w:basedOn w:val="a"/>
    <w:pPr>
      <w:widowControl w:val="0"/>
      <w:ind w:firstLine="720"/>
      <w:jc w:val="both"/>
    </w:pPr>
    <w:rPr>
      <w:sz w:val="28"/>
    </w:rPr>
  </w:style>
  <w:style w:type="paragraph" w:styleId="30">
    <w:name w:val="Body Text Indent 3"/>
    <w:basedOn w:val="a"/>
    <w:pPr>
      <w:ind w:firstLine="720"/>
    </w:pPr>
    <w:rPr>
      <w:sz w:val="28"/>
    </w:rPr>
  </w:style>
  <w:style w:type="paragraph" w:styleId="a3">
    <w:name w:val="Body Text"/>
    <w:basedOn w:val="a"/>
    <w:pPr>
      <w:tabs>
        <w:tab w:val="left" w:pos="0"/>
      </w:tabs>
      <w:jc w:val="both"/>
    </w:pPr>
    <w:rPr>
      <w:sz w:val="28"/>
    </w:rPr>
  </w:style>
  <w:style w:type="paragraph" w:customStyle="1" w:styleId="-2">
    <w:name w:val="Основной-2"/>
    <w:pPr>
      <w:ind w:firstLine="170"/>
      <w:jc w:val="both"/>
    </w:pPr>
    <w:rPr>
      <w:rFonts w:ascii="Гельветика" w:hAnsi="Гельветика"/>
      <w:snapToGrid w:val="0"/>
      <w:sz w:val="17"/>
    </w:rPr>
  </w:style>
  <w:style w:type="paragraph" w:styleId="31">
    <w:name w:val="Body Text 3"/>
    <w:basedOn w:val="a"/>
    <w:pPr>
      <w:jc w:val="center"/>
    </w:pPr>
    <w:rPr>
      <w:b/>
      <w:sz w:val="28"/>
    </w:rPr>
  </w:style>
  <w:style w:type="paragraph" w:styleId="a4">
    <w:name w:val="Body Text Indent"/>
    <w:basedOn w:val="a"/>
    <w:pPr>
      <w:spacing w:after="120"/>
      <w:ind w:left="283"/>
    </w:pPr>
  </w:style>
  <w:style w:type="character" w:styleId="a5">
    <w:name w:val="footnote reference"/>
    <w:semiHidden/>
    <w:rPr>
      <w:vertAlign w:val="superscript"/>
    </w:rPr>
  </w:style>
  <w:style w:type="paragraph" w:customStyle="1" w:styleId="21">
    <w:name w:val="Основной текст с отступом 21"/>
    <w:basedOn w:val="a"/>
    <w:pPr>
      <w:widowControl w:val="0"/>
      <w:ind w:firstLine="360"/>
    </w:pPr>
    <w:rPr>
      <w:sz w:val="28"/>
    </w:rPr>
  </w:style>
  <w:style w:type="paragraph" w:styleId="a6">
    <w:name w:val="Subtitle"/>
    <w:basedOn w:val="a"/>
    <w:qFormat/>
    <w:pPr>
      <w:jc w:val="center"/>
    </w:pPr>
    <w:rPr>
      <w:rFonts w:ascii="Times New Roman CYR" w:hAnsi="Times New Roman CYR"/>
      <w:b/>
      <w:caps/>
      <w:sz w:val="24"/>
    </w:rPr>
  </w:style>
  <w:style w:type="paragraph" w:styleId="a7">
    <w:name w:val="footnote text"/>
    <w:basedOn w:val="a"/>
    <w:semiHidden/>
  </w:style>
  <w:style w:type="character" w:styleId="a8">
    <w:name w:val="Hyperlink"/>
    <w:rPr>
      <w:rFonts w:ascii="Times New Roman" w:hAnsi="Times New Roman" w:cs="Times New Roman" w:hint="default"/>
      <w:color w:val="333399"/>
      <w:u w:val="single"/>
    </w:rPr>
  </w:style>
  <w:style w:type="character" w:customStyle="1" w:styleId="s0">
    <w:name w:val="s0"/>
    <w:uiPriority w:val="9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Pr>
      <w:rFonts w:ascii="Tahoma" w:hAnsi="Tahoma" w:cs="Tahoma"/>
      <w:sz w:val="16"/>
      <w:szCs w:val="16"/>
    </w:rPr>
  </w:style>
  <w:style w:type="paragraph" w:styleId="aa">
    <w:name w:val="footer"/>
    <w:basedOn w:val="a"/>
    <w:pPr>
      <w:tabs>
        <w:tab w:val="center" w:pos="4677"/>
        <w:tab w:val="right" w:pos="9355"/>
      </w:tabs>
    </w:pPr>
  </w:style>
  <w:style w:type="character" w:styleId="ab">
    <w:name w:val="page number"/>
    <w:basedOn w:val="a0"/>
  </w:style>
  <w:style w:type="paragraph" w:styleId="ac">
    <w:name w:val="No Spacing"/>
    <w:uiPriority w:val="1"/>
    <w:qFormat/>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pPr>
      <w:spacing w:before="100" w:beforeAutospacing="1" w:after="100" w:afterAutospacing="1"/>
    </w:pPr>
    <w:rPr>
      <w:sz w:val="24"/>
      <w:szCs w:val="24"/>
    </w:rPr>
  </w:style>
  <w:style w:type="paragraph" w:customStyle="1" w:styleId="af">
    <w:name w:val="Знак"/>
    <w:basedOn w:val="a"/>
    <w:autoRedefine/>
    <w:pPr>
      <w:spacing w:after="160" w:line="240" w:lineRule="exact"/>
    </w:pPr>
    <w:rPr>
      <w:rFonts w:eastAsia="SimSun"/>
      <w:b/>
      <w:sz w:val="28"/>
      <w:szCs w:val="24"/>
      <w:lang w:val="en-US" w:eastAsia="en-US"/>
    </w:rPr>
  </w:style>
  <w:style w:type="paragraph" w:customStyle="1" w:styleId="11">
    <w:name w:val="Абзац списка1"/>
    <w:basedOn w:val="a"/>
    <w:pPr>
      <w:spacing w:after="200" w:line="276" w:lineRule="auto"/>
      <w:ind w:left="720"/>
    </w:pPr>
    <w:rPr>
      <w:rFonts w:ascii="Calibri" w:hAnsi="Calibri"/>
      <w:sz w:val="28"/>
      <w:szCs w:val="28"/>
      <w:lang w:eastAsia="en-US"/>
    </w:rPr>
  </w:style>
  <w:style w:type="paragraph" w:styleId="af0">
    <w:name w:val="List Paragraph"/>
    <w:basedOn w:val="a"/>
    <w:uiPriority w:val="99"/>
    <w:qFormat/>
    <w:pPr>
      <w:spacing w:after="200" w:line="276" w:lineRule="auto"/>
      <w:ind w:left="720"/>
    </w:pPr>
    <w:rPr>
      <w:rFonts w:ascii="Calibri" w:hAnsi="Calibri"/>
      <w:sz w:val="28"/>
      <w:szCs w:val="28"/>
      <w:lang w:eastAsia="en-US"/>
    </w:rPr>
  </w:style>
  <w:style w:type="character" w:customStyle="1" w:styleId="s19">
    <w:name w:val="s19"/>
    <w:uiPriority w:val="99"/>
    <w:rPr>
      <w:rFonts w:ascii="Times New Roman" w:hAnsi="Times New Roman"/>
      <w:color w:val="008000"/>
    </w:rPr>
  </w:style>
  <w:style w:type="character" w:customStyle="1" w:styleId="10">
    <w:name w:val="Заголовок 1 Знак"/>
    <w:link w:val="1"/>
    <w:locked/>
    <w:rPr>
      <w:rFonts w:ascii="Arial" w:hAnsi="Arial" w:cs="Arial"/>
      <w:b/>
      <w:bCs/>
      <w:kern w:val="32"/>
      <w:sz w:val="32"/>
      <w:szCs w:val="32"/>
    </w:rPr>
  </w:style>
  <w:style w:type="paragraph" w:styleId="af1">
    <w:name w:val="header"/>
    <w:basedOn w:val="a"/>
    <w:link w:val="af2"/>
    <w:uiPriority w:val="99"/>
    <w:unhideWhenUsed/>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basedOn w:val="a0"/>
    <w:link w:val="af1"/>
    <w:uiPriority w:val="99"/>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dilet.zan.kz/rus/docs/K940001000_" TargetMode="External"/><Relationship Id="rId4" Type="http://schemas.microsoft.com/office/2007/relationships/stylesWithEffects" Target="stylesWithEffects.xml"/><Relationship Id="rId9" Type="http://schemas.openxmlformats.org/officeDocument/2006/relationships/hyperlink" Target="http://adilet.zan.kz/rus/docs/V1500012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3C76-C677-4C86-B59E-0F220B71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5495</Words>
  <Characters>31322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36744</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ADMIN</cp:lastModifiedBy>
  <cp:revision>2</cp:revision>
  <cp:lastPrinted>2018-05-15T06:16:00Z</cp:lastPrinted>
  <dcterms:created xsi:type="dcterms:W3CDTF">2018-06-01T12:32:00Z</dcterms:created>
  <dcterms:modified xsi:type="dcterms:W3CDTF">2018-06-01T12:32:00Z</dcterms:modified>
</cp:coreProperties>
</file>